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FB88" w14:textId="2CCB6AF8" w:rsidR="009A13D4" w:rsidRDefault="00F458C3" w:rsidP="009A13D4">
      <w:pPr>
        <w:pStyle w:val="BodyText"/>
        <w:pageBreakBefore/>
        <w:rPr>
          <w:sz w:val="48"/>
          <w:szCs w:val="36"/>
        </w:rPr>
      </w:pPr>
      <w:r>
        <w:rPr>
          <w:noProof/>
          <w:lang w:eastAsia="en-GB"/>
        </w:rPr>
        <mc:AlternateContent>
          <mc:Choice Requires="wps">
            <w:drawing>
              <wp:anchor distT="76200" distB="184150" distL="114300" distR="114300" simplePos="0" relativeHeight="251657728" behindDoc="0" locked="1" layoutInCell="1" allowOverlap="1" wp14:anchorId="51A8B5B0" wp14:editId="504EF096">
                <wp:simplePos x="0" y="0"/>
                <wp:positionH relativeFrom="page">
                  <wp:posOffset>1276350</wp:posOffset>
                </wp:positionH>
                <wp:positionV relativeFrom="page">
                  <wp:posOffset>2200275</wp:posOffset>
                </wp:positionV>
                <wp:extent cx="5292725" cy="2374900"/>
                <wp:effectExtent l="0" t="0" r="22225" b="25400"/>
                <wp:wrapTopAndBottom/>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92725" cy="2374900"/>
                        </a:xfrm>
                        <a:prstGeom prst="rect">
                          <a:avLst/>
                        </a:prstGeom>
                        <a:solidFill>
                          <a:srgbClr val="FFFFFF"/>
                        </a:solidFill>
                        <a:ln w="9525">
                          <a:solidFill>
                            <a:srgbClr val="FFFFFF"/>
                          </a:solidFill>
                          <a:miter lim="800000"/>
                          <a:headEnd/>
                          <a:tailEnd/>
                        </a:ln>
                      </wps:spPr>
                      <wps:txbx>
                        <w:txbxContent>
                          <w:p w14:paraId="6976B6B9" w14:textId="77777777" w:rsidR="003547DB" w:rsidRDefault="003547DB" w:rsidP="002501A7">
                            <w:pPr>
                              <w:pStyle w:val="Title"/>
                              <w:jc w:val="center"/>
                              <w:rPr>
                                <w:rFonts w:asciiTheme="minorHAnsi" w:hAnsiTheme="minorHAnsi" w:cs="Arial"/>
                                <w:color w:val="442359"/>
                              </w:rPr>
                            </w:pPr>
                            <w:r>
                              <w:rPr>
                                <w:noProof/>
                                <w:lang w:eastAsia="en-GB"/>
                              </w:rPr>
                              <w:drawing>
                                <wp:inline distT="0" distB="0" distL="0" distR="0" wp14:anchorId="7AAAB1E1" wp14:editId="0177041F">
                                  <wp:extent cx="3242310" cy="385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Thalidomide_Trust_Maste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287" cy="398887"/>
                                          </a:xfrm>
                                          <a:prstGeom prst="rect">
                                            <a:avLst/>
                                          </a:prstGeom>
                                        </pic:spPr>
                                      </pic:pic>
                                    </a:graphicData>
                                  </a:graphic>
                                </wp:inline>
                              </w:drawing>
                            </w:r>
                          </w:p>
                          <w:p w14:paraId="0A4CD5C4" w14:textId="220DDE1B" w:rsidR="003547DB" w:rsidRPr="00995E43" w:rsidRDefault="003547DB" w:rsidP="002501A7">
                            <w:pPr>
                              <w:pStyle w:val="Title"/>
                              <w:jc w:val="center"/>
                              <w:rPr>
                                <w:rFonts w:asciiTheme="minorHAnsi" w:hAnsiTheme="minorHAnsi" w:cs="Arial"/>
                                <w:color w:val="442359"/>
                              </w:rPr>
                            </w:pPr>
                            <w:r>
                              <w:rPr>
                                <w:rFonts w:asciiTheme="minorHAnsi" w:hAnsiTheme="minorHAnsi" w:cs="Arial"/>
                                <w:color w:val="442359"/>
                              </w:rPr>
                              <w:t>Annual Report and Financial Statements</w:t>
                            </w:r>
                          </w:p>
                          <w:p w14:paraId="40B16BA9" w14:textId="00F2A60E" w:rsidR="003547DB" w:rsidRPr="00995E43" w:rsidRDefault="003547DB" w:rsidP="002501A7">
                            <w:pPr>
                              <w:pStyle w:val="Title"/>
                              <w:jc w:val="center"/>
                              <w:rPr>
                                <w:rFonts w:asciiTheme="minorHAnsi" w:hAnsiTheme="minorHAnsi" w:cs="Arial"/>
                                <w:color w:val="442359"/>
                              </w:rPr>
                            </w:pPr>
                            <w:r w:rsidRPr="00995E43">
                              <w:rPr>
                                <w:rFonts w:asciiTheme="minorHAnsi" w:hAnsiTheme="minorHAnsi" w:cs="Arial"/>
                                <w:color w:val="442359"/>
                              </w:rPr>
                              <w:t xml:space="preserve">for the </w:t>
                            </w:r>
                            <w:r>
                              <w:rPr>
                                <w:rFonts w:asciiTheme="minorHAnsi" w:hAnsiTheme="minorHAnsi" w:cs="Arial"/>
                                <w:color w:val="442359"/>
                              </w:rPr>
                              <w:t>year</w:t>
                            </w:r>
                            <w:r w:rsidRPr="00995E43">
                              <w:rPr>
                                <w:rFonts w:asciiTheme="minorHAnsi" w:hAnsiTheme="minorHAnsi" w:cs="Arial"/>
                                <w:color w:val="442359"/>
                              </w:rPr>
                              <w:t xml:space="preserve"> ended 30 September </w:t>
                            </w:r>
                            <w:r>
                              <w:rPr>
                                <w:rFonts w:asciiTheme="minorHAnsi" w:hAnsiTheme="minorHAnsi" w:cs="Arial"/>
                                <w:color w:val="442359"/>
                              </w:rPr>
                              <w:t>2018</w:t>
                            </w:r>
                          </w:p>
                          <w:p w14:paraId="717C19B8" w14:textId="77777777" w:rsidR="003547DB" w:rsidRPr="00995E43" w:rsidRDefault="003547DB" w:rsidP="002501A7">
                            <w:pPr>
                              <w:pStyle w:val="Title"/>
                              <w:jc w:val="center"/>
                              <w:rPr>
                                <w:rFonts w:asciiTheme="minorHAnsi" w:hAnsiTheme="minorHAnsi"/>
                                <w:color w:val="442359"/>
                              </w:rPr>
                            </w:pPr>
                          </w:p>
                          <w:p w14:paraId="40F39431" w14:textId="77777777" w:rsidR="003547DB" w:rsidRPr="00995E43" w:rsidRDefault="003547DB" w:rsidP="002501A7">
                            <w:pPr>
                              <w:pStyle w:val="BodyText"/>
                              <w:jc w:val="center"/>
                              <w:rPr>
                                <w:rFonts w:asciiTheme="minorHAnsi" w:hAnsiTheme="minorHAnsi" w:cs="Arial"/>
                                <w:color w:val="442359"/>
                              </w:rPr>
                            </w:pPr>
                            <w:r w:rsidRPr="00995E43">
                              <w:rPr>
                                <w:rFonts w:asciiTheme="minorHAnsi" w:hAnsiTheme="minorHAnsi" w:cs="Arial"/>
                                <w:b/>
                                <w:color w:val="442359"/>
                              </w:rPr>
                              <w:t>Registered Charity Number 266220</w:t>
                            </w:r>
                          </w:p>
                        </w:txbxContent>
                      </wps:txbx>
                      <wps:bodyPr rot="0" vert="horz" wrap="square" lIns="252000" tIns="180000" rIns="180000" bIns="180000" anchor="t" anchorCtr="0">
                        <a:noAutofit/>
                      </wps:bodyPr>
                    </wps:wsp>
                  </a:graphicData>
                </a:graphic>
                <wp14:sizeRelH relativeFrom="page">
                  <wp14:pctWidth>0</wp14:pctWidth>
                </wp14:sizeRelH>
                <wp14:sizeRelV relativeFrom="page">
                  <wp14:pctHeight>0</wp14:pctHeight>
                </wp14:sizeRelV>
              </wp:anchor>
            </w:drawing>
          </mc:Choice>
          <mc:Fallback>
            <w:pict>
              <v:shapetype w14:anchorId="51A8B5B0" id="_x0000_t202" coordsize="21600,21600" o:spt="202" path="m,l,21600r21600,l21600,xe">
                <v:stroke joinstyle="miter"/>
                <v:path gradientshapeok="t" o:connecttype="rect"/>
              </v:shapetype>
              <v:shape id="Text Box 2" o:spid="_x0000_s1026" type="#_x0000_t202" style="position:absolute;margin-left:100.5pt;margin-top:173.25pt;width:416.75pt;height:187pt;z-index:251657728;visibility:visible;mso-wrap-style:square;mso-width-percent:0;mso-height-percent:0;mso-wrap-distance-left:9pt;mso-wrap-distance-top:6pt;mso-wrap-distance-right:9pt;mso-wrap-distance-bottom:1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" strokecolor="white">
                <o:lock v:ext="edit" aspectratio="t"/>
                <v:textbox inset="7mm,5mm,5mm,5mm">
                  <w:txbxContent>
                    <w:p w14:paraId="6976B6B9" w14:textId="77777777" w:rsidR="003547DB" w:rsidRDefault="003547DB" w:rsidP="002501A7">
                      <w:pPr>
                        <w:pStyle w:val="Title"/>
                        <w:jc w:val="center"/>
                        <w:rPr>
                          <w:rFonts w:asciiTheme="minorHAnsi" w:hAnsiTheme="minorHAnsi" w:cs="Arial"/>
                          <w:color w:val="442359"/>
                        </w:rPr>
                      </w:pPr>
                      <w:r>
                        <w:rPr>
                          <w:noProof/>
                          <w:lang w:eastAsia="en-GB"/>
                        </w:rPr>
                        <w:drawing>
                          <wp:inline distT="0" distB="0" distL="0" distR="0" wp14:anchorId="7AAAB1E1" wp14:editId="0177041F">
                            <wp:extent cx="3242310" cy="385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Thalidomide_Trust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287" cy="398887"/>
                                    </a:xfrm>
                                    <a:prstGeom prst="rect">
                                      <a:avLst/>
                                    </a:prstGeom>
                                  </pic:spPr>
                                </pic:pic>
                              </a:graphicData>
                            </a:graphic>
                          </wp:inline>
                        </w:drawing>
                      </w:r>
                    </w:p>
                    <w:p w14:paraId="0A4CD5C4" w14:textId="220DDE1B" w:rsidR="003547DB" w:rsidRPr="00995E43" w:rsidRDefault="003547DB" w:rsidP="002501A7">
                      <w:pPr>
                        <w:pStyle w:val="Title"/>
                        <w:jc w:val="center"/>
                        <w:rPr>
                          <w:rFonts w:asciiTheme="minorHAnsi" w:hAnsiTheme="minorHAnsi" w:cs="Arial"/>
                          <w:color w:val="442359"/>
                        </w:rPr>
                      </w:pPr>
                      <w:r>
                        <w:rPr>
                          <w:rFonts w:asciiTheme="minorHAnsi" w:hAnsiTheme="minorHAnsi" w:cs="Arial"/>
                          <w:color w:val="442359"/>
                        </w:rPr>
                        <w:t>Annual Report and Financial Statements</w:t>
                      </w:r>
                    </w:p>
                    <w:p w14:paraId="40B16BA9" w14:textId="00F2A60E" w:rsidR="003547DB" w:rsidRPr="00995E43" w:rsidRDefault="003547DB" w:rsidP="002501A7">
                      <w:pPr>
                        <w:pStyle w:val="Title"/>
                        <w:jc w:val="center"/>
                        <w:rPr>
                          <w:rFonts w:asciiTheme="minorHAnsi" w:hAnsiTheme="minorHAnsi" w:cs="Arial"/>
                          <w:color w:val="442359"/>
                        </w:rPr>
                      </w:pPr>
                      <w:r w:rsidRPr="00995E43">
                        <w:rPr>
                          <w:rFonts w:asciiTheme="minorHAnsi" w:hAnsiTheme="minorHAnsi" w:cs="Arial"/>
                          <w:color w:val="442359"/>
                        </w:rPr>
                        <w:t xml:space="preserve">for the </w:t>
                      </w:r>
                      <w:r>
                        <w:rPr>
                          <w:rFonts w:asciiTheme="minorHAnsi" w:hAnsiTheme="minorHAnsi" w:cs="Arial"/>
                          <w:color w:val="442359"/>
                        </w:rPr>
                        <w:t>year</w:t>
                      </w:r>
                      <w:r w:rsidRPr="00995E43">
                        <w:rPr>
                          <w:rFonts w:asciiTheme="minorHAnsi" w:hAnsiTheme="minorHAnsi" w:cs="Arial"/>
                          <w:color w:val="442359"/>
                        </w:rPr>
                        <w:t xml:space="preserve"> ended 30 September </w:t>
                      </w:r>
                      <w:r>
                        <w:rPr>
                          <w:rFonts w:asciiTheme="minorHAnsi" w:hAnsiTheme="minorHAnsi" w:cs="Arial"/>
                          <w:color w:val="442359"/>
                        </w:rPr>
                        <w:t>2018</w:t>
                      </w:r>
                    </w:p>
                    <w:p w14:paraId="717C19B8" w14:textId="77777777" w:rsidR="003547DB" w:rsidRPr="00995E43" w:rsidRDefault="003547DB" w:rsidP="002501A7">
                      <w:pPr>
                        <w:pStyle w:val="Title"/>
                        <w:jc w:val="center"/>
                        <w:rPr>
                          <w:rFonts w:asciiTheme="minorHAnsi" w:hAnsiTheme="minorHAnsi"/>
                          <w:color w:val="442359"/>
                        </w:rPr>
                      </w:pPr>
                    </w:p>
                    <w:p w14:paraId="40F39431" w14:textId="77777777" w:rsidR="003547DB" w:rsidRPr="00995E43" w:rsidRDefault="003547DB" w:rsidP="002501A7">
                      <w:pPr>
                        <w:pStyle w:val="BodyText"/>
                        <w:jc w:val="center"/>
                        <w:rPr>
                          <w:rFonts w:asciiTheme="minorHAnsi" w:hAnsiTheme="minorHAnsi" w:cs="Arial"/>
                          <w:color w:val="442359"/>
                        </w:rPr>
                      </w:pPr>
                      <w:r w:rsidRPr="00995E43">
                        <w:rPr>
                          <w:rFonts w:asciiTheme="minorHAnsi" w:hAnsiTheme="minorHAnsi" w:cs="Arial"/>
                          <w:b/>
                          <w:color w:val="442359"/>
                        </w:rPr>
                        <w:t>Registered Charity Number 266220</w:t>
                      </w:r>
                    </w:p>
                  </w:txbxContent>
                </v:textbox>
                <w10:wrap type="topAndBottom" anchorx="page" anchory="page"/>
                <w10:anchorlock/>
              </v:shape>
            </w:pict>
          </mc:Fallback>
        </mc:AlternateContent>
      </w:r>
    </w:p>
    <w:p w14:paraId="49748239" w14:textId="77777777" w:rsidR="009A13D4" w:rsidRDefault="009A13D4" w:rsidP="00B5056B">
      <w:pPr>
        <w:pStyle w:val="BodyText"/>
        <w:tabs>
          <w:tab w:val="left" w:pos="2410"/>
        </w:tabs>
      </w:pPr>
    </w:p>
    <w:p w14:paraId="077E42DA" w14:textId="077F769F" w:rsidR="00571339" w:rsidRPr="003E0415" w:rsidRDefault="00DA4041" w:rsidP="003E0415">
      <w:pPr>
        <w:pStyle w:val="BodyText"/>
        <w:jc w:val="center"/>
      </w:pPr>
      <w:r>
        <w:br w:type="page"/>
      </w:r>
    </w:p>
    <w:p w14:paraId="0E5433D9" w14:textId="77777777" w:rsidR="003E0415" w:rsidRDefault="003E0415" w:rsidP="00761311">
      <w:pPr>
        <w:spacing w:before="240"/>
        <w:rPr>
          <w:rFonts w:asciiTheme="minorHAnsi" w:hAnsiTheme="minorHAnsi" w:cs="Arial"/>
          <w:b/>
          <w:color w:val="442359"/>
          <w:kern w:val="2"/>
          <w:sz w:val="24"/>
          <w:szCs w:val="24"/>
        </w:rPr>
      </w:pPr>
    </w:p>
    <w:p w14:paraId="50551225" w14:textId="77777777" w:rsidR="00B458AD" w:rsidRDefault="00B458AD" w:rsidP="00761311">
      <w:pPr>
        <w:spacing w:before="240"/>
        <w:rPr>
          <w:rFonts w:asciiTheme="minorHAnsi" w:hAnsiTheme="minorHAnsi" w:cs="Arial"/>
          <w:b/>
          <w:color w:val="442359"/>
          <w:kern w:val="2"/>
          <w:sz w:val="24"/>
          <w:szCs w:val="24"/>
        </w:rPr>
      </w:pPr>
    </w:p>
    <w:p w14:paraId="6AA5E3D0" w14:textId="77777777" w:rsidR="00B458AD" w:rsidRDefault="00B458AD" w:rsidP="00761311">
      <w:pPr>
        <w:spacing w:before="240"/>
        <w:rPr>
          <w:rFonts w:asciiTheme="minorHAnsi" w:hAnsiTheme="minorHAnsi" w:cs="Arial"/>
          <w:b/>
          <w:color w:val="442359"/>
          <w:kern w:val="2"/>
          <w:sz w:val="24"/>
          <w:szCs w:val="24"/>
        </w:rPr>
      </w:pPr>
    </w:p>
    <w:p w14:paraId="7CBDA9A8" w14:textId="77777777" w:rsidR="001602C0" w:rsidRPr="001F3FC8" w:rsidRDefault="001602C0" w:rsidP="001602C0">
      <w:pPr>
        <w:pStyle w:val="Title"/>
        <w:jc w:val="center"/>
        <w:rPr>
          <w:rFonts w:asciiTheme="minorHAnsi" w:hAnsiTheme="minorHAnsi" w:cs="Arial"/>
          <w:b/>
          <w:color w:val="442359"/>
          <w:sz w:val="24"/>
          <w:szCs w:val="24"/>
        </w:rPr>
      </w:pPr>
      <w:r w:rsidRPr="001F3FC8">
        <w:rPr>
          <w:rFonts w:asciiTheme="minorHAnsi" w:hAnsiTheme="minorHAnsi" w:cs="Arial"/>
          <w:b/>
          <w:color w:val="442359"/>
          <w:sz w:val="24"/>
          <w:szCs w:val="24"/>
        </w:rPr>
        <w:t>Contents</w:t>
      </w:r>
    </w:p>
    <w:p w14:paraId="13229708" w14:textId="77777777" w:rsidR="001602C0" w:rsidRPr="00995E43" w:rsidRDefault="001602C0" w:rsidP="001602C0">
      <w:pPr>
        <w:pStyle w:val="BodyText"/>
        <w:jc w:val="center"/>
        <w:rPr>
          <w:rFonts w:asciiTheme="minorHAnsi" w:hAnsiTheme="minorHAnsi" w:cs="Arial"/>
          <w:color w:val="442359"/>
          <w:sz w:val="24"/>
          <w:szCs w:val="24"/>
        </w:rPr>
      </w:pPr>
    </w:p>
    <w:p w14:paraId="23566FF5" w14:textId="2B59636E" w:rsidR="00422EC8" w:rsidRPr="00E540A0" w:rsidRDefault="001602C0">
      <w:pPr>
        <w:pStyle w:val="TOC1"/>
        <w:tabs>
          <w:tab w:val="right" w:leader="dot" w:pos="8919"/>
        </w:tabs>
        <w:rPr>
          <w:rFonts w:asciiTheme="minorHAnsi" w:eastAsiaTheme="minorEastAsia" w:hAnsiTheme="minorHAnsi" w:cstheme="minorHAnsi"/>
          <w:noProof/>
          <w:sz w:val="28"/>
          <w:szCs w:val="28"/>
          <w:lang w:eastAsia="en-GB"/>
        </w:rPr>
      </w:pPr>
      <w:r w:rsidRPr="00546DA1">
        <w:rPr>
          <w:rFonts w:asciiTheme="minorHAnsi" w:hAnsiTheme="minorHAnsi" w:cs="Arial"/>
          <w:color w:val="442359"/>
          <w:sz w:val="28"/>
          <w:szCs w:val="28"/>
        </w:rPr>
        <w:fldChar w:fldCharType="begin"/>
      </w:r>
      <w:r w:rsidRPr="00546DA1">
        <w:rPr>
          <w:rFonts w:asciiTheme="minorHAnsi" w:hAnsiTheme="minorHAnsi" w:cs="Arial"/>
          <w:color w:val="442359"/>
          <w:sz w:val="28"/>
          <w:szCs w:val="28"/>
        </w:rPr>
        <w:instrText xml:space="preserve"> TOC  \t "Heading 1,1" \* MERGEFORMAT </w:instrText>
      </w:r>
      <w:r w:rsidRPr="00546DA1">
        <w:rPr>
          <w:rFonts w:asciiTheme="minorHAnsi" w:hAnsiTheme="minorHAnsi" w:cs="Arial"/>
          <w:color w:val="442359"/>
          <w:sz w:val="28"/>
          <w:szCs w:val="28"/>
        </w:rPr>
        <w:fldChar w:fldCharType="separate"/>
      </w:r>
      <w:r w:rsidR="00422EC8" w:rsidRPr="000E444C">
        <w:rPr>
          <w:rFonts w:asciiTheme="minorHAnsi" w:hAnsiTheme="minorHAnsi" w:cstheme="minorHAnsi"/>
          <w:noProof/>
          <w:sz w:val="28"/>
          <w:szCs w:val="28"/>
        </w:rPr>
        <w:t>Reference and administrative details</w:t>
      </w:r>
      <w:r w:rsidR="00422EC8" w:rsidRPr="000E444C">
        <w:rPr>
          <w:rFonts w:asciiTheme="minorHAnsi" w:hAnsiTheme="minorHAnsi" w:cstheme="minorHAnsi"/>
          <w:noProof/>
          <w:sz w:val="28"/>
          <w:szCs w:val="28"/>
        </w:rPr>
        <w:tab/>
      </w:r>
      <w:r w:rsidR="00422EC8" w:rsidRPr="000E444C">
        <w:rPr>
          <w:rFonts w:asciiTheme="minorHAnsi" w:hAnsiTheme="minorHAnsi" w:cstheme="minorHAnsi"/>
          <w:noProof/>
          <w:sz w:val="28"/>
          <w:szCs w:val="28"/>
        </w:rPr>
        <w:fldChar w:fldCharType="begin"/>
      </w:r>
      <w:r w:rsidR="00422EC8" w:rsidRPr="000E444C">
        <w:rPr>
          <w:rFonts w:asciiTheme="minorHAnsi" w:hAnsiTheme="minorHAnsi" w:cstheme="minorHAnsi"/>
          <w:noProof/>
          <w:sz w:val="28"/>
          <w:szCs w:val="28"/>
        </w:rPr>
        <w:instrText xml:space="preserve"> PAGEREF _Toc532990620 \h </w:instrText>
      </w:r>
      <w:r w:rsidR="00422EC8" w:rsidRPr="000E444C">
        <w:rPr>
          <w:rFonts w:asciiTheme="minorHAnsi" w:hAnsiTheme="minorHAnsi" w:cstheme="minorHAnsi"/>
          <w:noProof/>
          <w:sz w:val="28"/>
          <w:szCs w:val="28"/>
        </w:rPr>
      </w:r>
      <w:r w:rsidR="00422EC8" w:rsidRPr="000E444C">
        <w:rPr>
          <w:rFonts w:asciiTheme="minorHAnsi" w:hAnsiTheme="minorHAnsi" w:cstheme="minorHAnsi"/>
          <w:noProof/>
          <w:sz w:val="28"/>
          <w:szCs w:val="28"/>
        </w:rPr>
        <w:fldChar w:fldCharType="separate"/>
      </w:r>
      <w:r w:rsidR="00557051">
        <w:rPr>
          <w:rFonts w:asciiTheme="minorHAnsi" w:hAnsiTheme="minorHAnsi" w:cstheme="minorHAnsi"/>
          <w:noProof/>
          <w:sz w:val="28"/>
          <w:szCs w:val="28"/>
        </w:rPr>
        <w:t>3</w:t>
      </w:r>
      <w:r w:rsidR="00422EC8" w:rsidRPr="000E444C">
        <w:rPr>
          <w:rFonts w:asciiTheme="minorHAnsi" w:hAnsiTheme="minorHAnsi" w:cstheme="minorHAnsi"/>
          <w:noProof/>
          <w:sz w:val="28"/>
          <w:szCs w:val="28"/>
        </w:rPr>
        <w:fldChar w:fldCharType="end"/>
      </w:r>
    </w:p>
    <w:p w14:paraId="4611CDE4" w14:textId="65C31C35" w:rsidR="00422EC8" w:rsidRPr="00E540A0" w:rsidRDefault="00F94E1E">
      <w:pPr>
        <w:pStyle w:val="TOC1"/>
        <w:tabs>
          <w:tab w:val="right" w:leader="dot" w:pos="8919"/>
        </w:tabs>
        <w:rPr>
          <w:rFonts w:asciiTheme="minorHAnsi" w:eastAsiaTheme="minorEastAsia" w:hAnsiTheme="minorHAnsi" w:cstheme="minorHAnsi"/>
          <w:noProof/>
          <w:sz w:val="28"/>
          <w:szCs w:val="28"/>
          <w:lang w:eastAsia="en-GB"/>
        </w:rPr>
      </w:pPr>
      <w:r>
        <w:rPr>
          <w:rFonts w:asciiTheme="minorHAnsi" w:hAnsiTheme="minorHAnsi" w:cstheme="minorHAnsi"/>
          <w:noProof/>
          <w:sz w:val="28"/>
          <w:szCs w:val="28"/>
        </w:rPr>
        <w:t xml:space="preserve">Annual </w:t>
      </w:r>
      <w:r w:rsidR="00422EC8" w:rsidRPr="00C64D7F">
        <w:rPr>
          <w:rFonts w:asciiTheme="minorHAnsi" w:hAnsiTheme="minorHAnsi" w:cstheme="minorHAnsi"/>
          <w:noProof/>
          <w:sz w:val="28"/>
          <w:szCs w:val="28"/>
        </w:rPr>
        <w:t>Report</w:t>
      </w:r>
      <w:r w:rsidR="007A68E9">
        <w:rPr>
          <w:rFonts w:asciiTheme="minorHAnsi" w:hAnsiTheme="minorHAnsi" w:cstheme="minorHAnsi"/>
          <w:noProof/>
          <w:sz w:val="28"/>
          <w:szCs w:val="28"/>
        </w:rPr>
        <w:t>.....................................................................................................5</w:t>
      </w:r>
    </w:p>
    <w:p w14:paraId="34146D09" w14:textId="78CCBCB6" w:rsidR="00422EC8" w:rsidRPr="00E540A0" w:rsidRDefault="00422EC8">
      <w:pPr>
        <w:pStyle w:val="TOC1"/>
        <w:tabs>
          <w:tab w:val="right" w:leader="dot" w:pos="8919"/>
        </w:tabs>
        <w:rPr>
          <w:rFonts w:asciiTheme="minorHAnsi" w:eastAsiaTheme="minorEastAsia" w:hAnsiTheme="minorHAnsi" w:cstheme="minorHAnsi"/>
          <w:noProof/>
          <w:sz w:val="28"/>
          <w:szCs w:val="28"/>
          <w:lang w:eastAsia="en-GB"/>
        </w:rPr>
      </w:pPr>
      <w:r w:rsidRPr="00C64D7F">
        <w:rPr>
          <w:rFonts w:asciiTheme="minorHAnsi" w:hAnsiTheme="minorHAnsi" w:cstheme="minorHAnsi"/>
          <w:noProof/>
          <w:sz w:val="28"/>
          <w:szCs w:val="28"/>
        </w:rPr>
        <w:t xml:space="preserve">Independent auditors’ report to the </w:t>
      </w:r>
      <w:r w:rsidR="00D8790B">
        <w:rPr>
          <w:rFonts w:asciiTheme="minorHAnsi" w:hAnsiTheme="minorHAnsi" w:cstheme="minorHAnsi"/>
          <w:noProof/>
          <w:sz w:val="28"/>
          <w:szCs w:val="28"/>
        </w:rPr>
        <w:t>T</w:t>
      </w:r>
      <w:r w:rsidRPr="00C64D7F">
        <w:rPr>
          <w:rFonts w:asciiTheme="minorHAnsi" w:hAnsiTheme="minorHAnsi" w:cstheme="minorHAnsi"/>
          <w:noProof/>
          <w:sz w:val="28"/>
          <w:szCs w:val="28"/>
        </w:rPr>
        <w:t>rustee of the Thalidomide Trust</w:t>
      </w:r>
      <w:r w:rsidRPr="00C64D7F">
        <w:rPr>
          <w:rFonts w:asciiTheme="minorHAnsi" w:hAnsiTheme="minorHAnsi" w:cstheme="minorHAnsi"/>
          <w:noProof/>
          <w:sz w:val="28"/>
          <w:szCs w:val="28"/>
        </w:rPr>
        <w:tab/>
      </w:r>
      <w:r w:rsidRPr="00C64D7F">
        <w:rPr>
          <w:rFonts w:asciiTheme="minorHAnsi" w:hAnsiTheme="minorHAnsi" w:cstheme="minorHAnsi"/>
          <w:noProof/>
          <w:sz w:val="28"/>
          <w:szCs w:val="28"/>
        </w:rPr>
        <w:fldChar w:fldCharType="begin"/>
      </w:r>
      <w:r w:rsidRPr="00C64D7F">
        <w:rPr>
          <w:rFonts w:asciiTheme="minorHAnsi" w:hAnsiTheme="minorHAnsi" w:cstheme="minorHAnsi"/>
          <w:noProof/>
          <w:sz w:val="28"/>
          <w:szCs w:val="28"/>
        </w:rPr>
        <w:instrText xml:space="preserve"> PAGEREF _Toc532990622 \h </w:instrText>
      </w:r>
      <w:r w:rsidRPr="00C64D7F">
        <w:rPr>
          <w:rFonts w:asciiTheme="minorHAnsi" w:hAnsiTheme="minorHAnsi" w:cstheme="minorHAnsi"/>
          <w:noProof/>
          <w:sz w:val="28"/>
          <w:szCs w:val="28"/>
        </w:rPr>
      </w:r>
      <w:r w:rsidRPr="00C64D7F">
        <w:rPr>
          <w:rFonts w:asciiTheme="minorHAnsi" w:hAnsiTheme="minorHAnsi" w:cstheme="minorHAnsi"/>
          <w:noProof/>
          <w:sz w:val="28"/>
          <w:szCs w:val="28"/>
        </w:rPr>
        <w:fldChar w:fldCharType="separate"/>
      </w:r>
      <w:r w:rsidR="00557051">
        <w:rPr>
          <w:rFonts w:asciiTheme="minorHAnsi" w:hAnsiTheme="minorHAnsi" w:cstheme="minorHAnsi"/>
          <w:noProof/>
          <w:sz w:val="28"/>
          <w:szCs w:val="28"/>
        </w:rPr>
        <w:t>15</w:t>
      </w:r>
      <w:r w:rsidRPr="00C64D7F">
        <w:rPr>
          <w:rFonts w:asciiTheme="minorHAnsi" w:hAnsiTheme="minorHAnsi" w:cstheme="minorHAnsi"/>
          <w:noProof/>
          <w:sz w:val="28"/>
          <w:szCs w:val="28"/>
        </w:rPr>
        <w:fldChar w:fldCharType="end"/>
      </w:r>
    </w:p>
    <w:p w14:paraId="0EA7B782" w14:textId="66994087" w:rsidR="00422EC8" w:rsidRPr="00E540A0" w:rsidRDefault="00422EC8">
      <w:pPr>
        <w:pStyle w:val="TOC1"/>
        <w:tabs>
          <w:tab w:val="right" w:leader="dot" w:pos="8919"/>
        </w:tabs>
        <w:rPr>
          <w:rFonts w:asciiTheme="minorHAnsi" w:eastAsiaTheme="minorEastAsia" w:hAnsiTheme="minorHAnsi" w:cstheme="minorHAnsi"/>
          <w:noProof/>
          <w:sz w:val="28"/>
          <w:szCs w:val="28"/>
          <w:lang w:eastAsia="en-GB"/>
        </w:rPr>
      </w:pPr>
      <w:r w:rsidRPr="00C64D7F">
        <w:rPr>
          <w:rFonts w:asciiTheme="minorHAnsi" w:hAnsiTheme="minorHAnsi" w:cstheme="minorHAnsi"/>
          <w:noProof/>
          <w:sz w:val="28"/>
          <w:szCs w:val="28"/>
        </w:rPr>
        <w:t>Statement of financial activities for the year ended 30 September 2018</w:t>
      </w:r>
      <w:r w:rsidRPr="00C64D7F">
        <w:rPr>
          <w:rFonts w:asciiTheme="minorHAnsi" w:hAnsiTheme="minorHAnsi" w:cstheme="minorHAnsi"/>
          <w:noProof/>
          <w:sz w:val="28"/>
          <w:szCs w:val="28"/>
        </w:rPr>
        <w:tab/>
      </w:r>
      <w:r w:rsidRPr="00C64D7F">
        <w:rPr>
          <w:rFonts w:asciiTheme="minorHAnsi" w:hAnsiTheme="minorHAnsi" w:cstheme="minorHAnsi"/>
          <w:noProof/>
          <w:sz w:val="28"/>
          <w:szCs w:val="28"/>
        </w:rPr>
        <w:fldChar w:fldCharType="begin"/>
      </w:r>
      <w:r w:rsidRPr="00C64D7F">
        <w:rPr>
          <w:rFonts w:asciiTheme="minorHAnsi" w:hAnsiTheme="minorHAnsi" w:cstheme="minorHAnsi"/>
          <w:noProof/>
          <w:sz w:val="28"/>
          <w:szCs w:val="28"/>
        </w:rPr>
        <w:instrText xml:space="preserve"> PAGEREF _Toc532990623 \h </w:instrText>
      </w:r>
      <w:r w:rsidRPr="00C64D7F">
        <w:rPr>
          <w:rFonts w:asciiTheme="minorHAnsi" w:hAnsiTheme="minorHAnsi" w:cstheme="minorHAnsi"/>
          <w:noProof/>
          <w:sz w:val="28"/>
          <w:szCs w:val="28"/>
        </w:rPr>
      </w:r>
      <w:r w:rsidRPr="00C64D7F">
        <w:rPr>
          <w:rFonts w:asciiTheme="minorHAnsi" w:hAnsiTheme="minorHAnsi" w:cstheme="minorHAnsi"/>
          <w:noProof/>
          <w:sz w:val="28"/>
          <w:szCs w:val="28"/>
        </w:rPr>
        <w:fldChar w:fldCharType="separate"/>
      </w:r>
      <w:r w:rsidR="00557051">
        <w:rPr>
          <w:rFonts w:asciiTheme="minorHAnsi" w:hAnsiTheme="minorHAnsi" w:cstheme="minorHAnsi"/>
          <w:noProof/>
          <w:sz w:val="28"/>
          <w:szCs w:val="28"/>
        </w:rPr>
        <w:t>1</w:t>
      </w:r>
      <w:r w:rsidR="000F00DE">
        <w:rPr>
          <w:rFonts w:asciiTheme="minorHAnsi" w:hAnsiTheme="minorHAnsi" w:cstheme="minorHAnsi"/>
          <w:noProof/>
          <w:sz w:val="28"/>
          <w:szCs w:val="28"/>
        </w:rPr>
        <w:t>7</w:t>
      </w:r>
      <w:r w:rsidRPr="00C64D7F">
        <w:rPr>
          <w:rFonts w:asciiTheme="minorHAnsi" w:hAnsiTheme="minorHAnsi" w:cstheme="minorHAnsi"/>
          <w:noProof/>
          <w:sz w:val="28"/>
          <w:szCs w:val="28"/>
        </w:rPr>
        <w:fldChar w:fldCharType="end"/>
      </w:r>
    </w:p>
    <w:p w14:paraId="5337A368" w14:textId="6C44CBBE" w:rsidR="00422EC8" w:rsidRPr="00E540A0" w:rsidRDefault="00422EC8">
      <w:pPr>
        <w:pStyle w:val="TOC1"/>
        <w:tabs>
          <w:tab w:val="right" w:leader="dot" w:pos="8919"/>
        </w:tabs>
        <w:rPr>
          <w:rFonts w:asciiTheme="minorHAnsi" w:eastAsiaTheme="minorEastAsia" w:hAnsiTheme="minorHAnsi" w:cstheme="minorHAnsi"/>
          <w:noProof/>
          <w:sz w:val="28"/>
          <w:szCs w:val="28"/>
          <w:lang w:eastAsia="en-GB"/>
        </w:rPr>
      </w:pPr>
      <w:r w:rsidRPr="00C64D7F">
        <w:rPr>
          <w:rFonts w:asciiTheme="minorHAnsi" w:hAnsiTheme="minorHAnsi" w:cstheme="minorHAnsi"/>
          <w:noProof/>
          <w:sz w:val="28"/>
          <w:szCs w:val="28"/>
        </w:rPr>
        <w:t>Balance sheet as at 30 September 2018</w:t>
      </w:r>
      <w:r w:rsidRPr="00C64D7F">
        <w:rPr>
          <w:rFonts w:asciiTheme="minorHAnsi" w:hAnsiTheme="minorHAnsi" w:cstheme="minorHAnsi"/>
          <w:noProof/>
          <w:sz w:val="28"/>
          <w:szCs w:val="28"/>
        </w:rPr>
        <w:tab/>
      </w:r>
      <w:r w:rsidRPr="00C64D7F">
        <w:rPr>
          <w:rFonts w:asciiTheme="minorHAnsi" w:hAnsiTheme="minorHAnsi" w:cstheme="minorHAnsi"/>
          <w:noProof/>
          <w:sz w:val="28"/>
          <w:szCs w:val="28"/>
        </w:rPr>
        <w:fldChar w:fldCharType="begin"/>
      </w:r>
      <w:r w:rsidRPr="00C64D7F">
        <w:rPr>
          <w:rFonts w:asciiTheme="minorHAnsi" w:hAnsiTheme="minorHAnsi" w:cstheme="minorHAnsi"/>
          <w:noProof/>
          <w:sz w:val="28"/>
          <w:szCs w:val="28"/>
        </w:rPr>
        <w:instrText xml:space="preserve"> PAGEREF _Toc532990624 \h </w:instrText>
      </w:r>
      <w:r w:rsidRPr="00C64D7F">
        <w:rPr>
          <w:rFonts w:asciiTheme="minorHAnsi" w:hAnsiTheme="minorHAnsi" w:cstheme="minorHAnsi"/>
          <w:noProof/>
          <w:sz w:val="28"/>
          <w:szCs w:val="28"/>
        </w:rPr>
      </w:r>
      <w:r w:rsidRPr="00C64D7F">
        <w:rPr>
          <w:rFonts w:asciiTheme="minorHAnsi" w:hAnsiTheme="minorHAnsi" w:cstheme="minorHAnsi"/>
          <w:noProof/>
          <w:sz w:val="28"/>
          <w:szCs w:val="28"/>
        </w:rPr>
        <w:fldChar w:fldCharType="separate"/>
      </w:r>
      <w:r w:rsidR="00557051">
        <w:rPr>
          <w:rFonts w:asciiTheme="minorHAnsi" w:hAnsiTheme="minorHAnsi" w:cstheme="minorHAnsi"/>
          <w:noProof/>
          <w:sz w:val="28"/>
          <w:szCs w:val="28"/>
        </w:rPr>
        <w:t>1</w:t>
      </w:r>
      <w:r w:rsidR="000F00DE">
        <w:rPr>
          <w:rFonts w:asciiTheme="minorHAnsi" w:hAnsiTheme="minorHAnsi" w:cstheme="minorHAnsi"/>
          <w:noProof/>
          <w:sz w:val="28"/>
          <w:szCs w:val="28"/>
        </w:rPr>
        <w:t>8</w:t>
      </w:r>
      <w:r w:rsidRPr="00C64D7F">
        <w:rPr>
          <w:rFonts w:asciiTheme="minorHAnsi" w:hAnsiTheme="minorHAnsi" w:cstheme="minorHAnsi"/>
          <w:noProof/>
          <w:sz w:val="28"/>
          <w:szCs w:val="28"/>
        </w:rPr>
        <w:fldChar w:fldCharType="end"/>
      </w:r>
    </w:p>
    <w:p w14:paraId="1884BAEE" w14:textId="26492CD7" w:rsidR="00422EC8" w:rsidRDefault="00422EC8">
      <w:pPr>
        <w:pStyle w:val="TOC1"/>
        <w:tabs>
          <w:tab w:val="right" w:leader="dot" w:pos="8919"/>
        </w:tabs>
        <w:rPr>
          <w:rFonts w:asciiTheme="minorHAnsi" w:eastAsiaTheme="minorEastAsia" w:hAnsiTheme="minorHAnsi" w:cstheme="minorBidi"/>
          <w:noProof/>
          <w:sz w:val="22"/>
          <w:szCs w:val="22"/>
          <w:lang w:eastAsia="en-GB"/>
        </w:rPr>
      </w:pPr>
      <w:r w:rsidRPr="00C64D7F">
        <w:rPr>
          <w:rFonts w:asciiTheme="minorHAnsi" w:hAnsiTheme="minorHAnsi" w:cstheme="minorHAnsi"/>
          <w:noProof/>
          <w:sz w:val="28"/>
          <w:szCs w:val="28"/>
        </w:rPr>
        <w:t>Notes to the financial statements for the year ended 30 September 2018</w:t>
      </w:r>
      <w:r w:rsidRPr="00C64D7F">
        <w:rPr>
          <w:rFonts w:asciiTheme="minorHAnsi" w:hAnsiTheme="minorHAnsi" w:cstheme="minorHAnsi"/>
          <w:noProof/>
          <w:sz w:val="28"/>
          <w:szCs w:val="28"/>
        </w:rPr>
        <w:tab/>
      </w:r>
      <w:r w:rsidR="0056547A">
        <w:rPr>
          <w:rFonts w:asciiTheme="minorHAnsi" w:hAnsiTheme="minorHAnsi" w:cstheme="minorHAnsi"/>
          <w:noProof/>
          <w:sz w:val="28"/>
          <w:szCs w:val="28"/>
        </w:rPr>
        <w:t>1</w:t>
      </w:r>
      <w:r w:rsidR="000F00DE">
        <w:rPr>
          <w:rFonts w:asciiTheme="minorHAnsi" w:hAnsiTheme="minorHAnsi" w:cstheme="minorHAnsi"/>
          <w:noProof/>
          <w:sz w:val="28"/>
          <w:szCs w:val="28"/>
        </w:rPr>
        <w:t>9</w:t>
      </w:r>
    </w:p>
    <w:p w14:paraId="1F507C38" w14:textId="684F9B8A" w:rsidR="00BC5EE4" w:rsidRPr="00546DA1" w:rsidRDefault="001602C0" w:rsidP="00BC5EE4">
      <w:pPr>
        <w:pStyle w:val="BodyText"/>
        <w:jc w:val="center"/>
        <w:rPr>
          <w:rFonts w:asciiTheme="minorHAnsi" w:hAnsiTheme="minorHAnsi" w:cs="Arial"/>
          <w:color w:val="442359"/>
          <w:sz w:val="22"/>
          <w:szCs w:val="22"/>
        </w:rPr>
      </w:pPr>
      <w:r w:rsidRPr="00546DA1">
        <w:rPr>
          <w:rFonts w:asciiTheme="minorHAnsi" w:hAnsiTheme="minorHAnsi" w:cs="Arial"/>
          <w:color w:val="442359"/>
          <w:sz w:val="28"/>
          <w:szCs w:val="28"/>
        </w:rPr>
        <w:fldChar w:fldCharType="end"/>
      </w:r>
    </w:p>
    <w:p w14:paraId="6DBA4011" w14:textId="77777777" w:rsidR="001602C0" w:rsidRPr="00F91082" w:rsidRDefault="001602C0" w:rsidP="00F91082">
      <w:pPr>
        <w:pStyle w:val="Heading1"/>
      </w:pPr>
      <w:bookmarkStart w:id="0" w:name="_Toc532990620"/>
      <w:r w:rsidRPr="00F91082">
        <w:lastRenderedPageBreak/>
        <w:t>Reference and administrative details</w:t>
      </w:r>
      <w:bookmarkEnd w:id="0"/>
    </w:p>
    <w:p w14:paraId="1D38B035" w14:textId="77777777" w:rsidR="001602C0" w:rsidRPr="0011122E" w:rsidRDefault="001602C0" w:rsidP="001602C0">
      <w:pPr>
        <w:spacing w:after="180"/>
        <w:rPr>
          <w:rFonts w:ascii="Calibri" w:hAnsi="Calibri"/>
          <w:sz w:val="24"/>
          <w:szCs w:val="24"/>
        </w:rPr>
      </w:pPr>
      <w:r>
        <w:rPr>
          <w:rFonts w:ascii="Calibri" w:hAnsi="Calibri"/>
          <w:b/>
          <w:color w:val="442359"/>
          <w:sz w:val="24"/>
          <w:szCs w:val="24"/>
        </w:rPr>
        <w:t>Registered Name</w:t>
      </w:r>
      <w:r>
        <w:rPr>
          <w:rFonts w:ascii="Calibri" w:hAnsi="Calibri"/>
          <w:b/>
          <w:color w:val="442359"/>
          <w:sz w:val="24"/>
          <w:szCs w:val="24"/>
        </w:rPr>
        <w:tab/>
      </w:r>
      <w:r>
        <w:rPr>
          <w:rFonts w:ascii="Calibri" w:hAnsi="Calibri"/>
          <w:b/>
          <w:color w:val="442359"/>
          <w:sz w:val="24"/>
          <w:szCs w:val="24"/>
        </w:rPr>
        <w:tab/>
        <w:t xml:space="preserve">                      </w:t>
      </w:r>
      <w:r w:rsidRPr="0011122E">
        <w:rPr>
          <w:rFonts w:ascii="Calibri" w:hAnsi="Calibri"/>
          <w:sz w:val="24"/>
          <w:szCs w:val="24"/>
        </w:rPr>
        <w:t>The Thalidomide Trust</w:t>
      </w:r>
    </w:p>
    <w:p w14:paraId="22CCA79D" w14:textId="77777777" w:rsidR="001602C0" w:rsidRDefault="001602C0" w:rsidP="001602C0">
      <w:pPr>
        <w:spacing w:after="180"/>
        <w:rPr>
          <w:rFonts w:ascii="Calibri" w:hAnsi="Calibri"/>
          <w:sz w:val="24"/>
          <w:szCs w:val="24"/>
        </w:rPr>
      </w:pPr>
      <w:r w:rsidRPr="009D0CED">
        <w:rPr>
          <w:rFonts w:ascii="Calibri" w:hAnsi="Calibri"/>
          <w:b/>
          <w:color w:val="442359"/>
          <w:sz w:val="24"/>
          <w:szCs w:val="24"/>
        </w:rPr>
        <w:t>Charity number</w:t>
      </w:r>
      <w:r w:rsidRPr="001F1DA9">
        <w:rPr>
          <w:rFonts w:ascii="Calibri" w:hAnsi="Calibri"/>
          <w:sz w:val="24"/>
          <w:szCs w:val="24"/>
        </w:rPr>
        <w:tab/>
      </w:r>
      <w:r w:rsidRPr="001F1DA9">
        <w:rPr>
          <w:rFonts w:ascii="Calibri" w:hAnsi="Calibri"/>
          <w:sz w:val="24"/>
          <w:szCs w:val="24"/>
        </w:rPr>
        <w:tab/>
      </w:r>
      <w:r>
        <w:rPr>
          <w:rFonts w:ascii="Calibri" w:hAnsi="Calibri"/>
          <w:sz w:val="24"/>
          <w:szCs w:val="24"/>
        </w:rPr>
        <w:t xml:space="preserve">  </w:t>
      </w:r>
      <w:r>
        <w:rPr>
          <w:rFonts w:ascii="Calibri" w:hAnsi="Calibri"/>
          <w:sz w:val="24"/>
          <w:szCs w:val="24"/>
        </w:rPr>
        <w:tab/>
        <w:t xml:space="preserve">                        </w:t>
      </w:r>
      <w:r w:rsidRPr="001F1DA9">
        <w:rPr>
          <w:rFonts w:ascii="Calibri" w:hAnsi="Calibri"/>
          <w:sz w:val="24"/>
          <w:szCs w:val="24"/>
        </w:rPr>
        <w:t>266220</w:t>
      </w:r>
    </w:p>
    <w:p w14:paraId="2046FB04" w14:textId="77777777" w:rsidR="001602C0" w:rsidRDefault="001602C0" w:rsidP="001602C0">
      <w:pPr>
        <w:spacing w:after="0"/>
        <w:ind w:left="1"/>
        <w:rPr>
          <w:rFonts w:ascii="Calibri" w:hAnsi="Calibri"/>
          <w:sz w:val="24"/>
          <w:szCs w:val="24"/>
        </w:rPr>
      </w:pPr>
      <w:r w:rsidRPr="009D0CED">
        <w:rPr>
          <w:rFonts w:ascii="Calibri" w:hAnsi="Calibri"/>
          <w:b/>
          <w:color w:val="442359"/>
          <w:sz w:val="24"/>
          <w:szCs w:val="24"/>
        </w:rPr>
        <w:t>Registered address</w:t>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Pr="001F1DA9">
        <w:rPr>
          <w:rFonts w:ascii="Calibri" w:hAnsi="Calibri"/>
          <w:sz w:val="24"/>
          <w:szCs w:val="24"/>
        </w:rPr>
        <w:t>1 Eaton Court Road</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p>
    <w:p w14:paraId="5E189F25" w14:textId="77777777" w:rsidR="001602C0" w:rsidRDefault="001602C0" w:rsidP="001602C0">
      <w:pPr>
        <w:spacing w:after="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Eaton Socon</w:t>
      </w:r>
    </w:p>
    <w:p w14:paraId="719E2E59" w14:textId="77777777" w:rsidR="001602C0" w:rsidRDefault="001602C0" w:rsidP="001602C0">
      <w:pPr>
        <w:spacing w:after="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St Neots</w:t>
      </w:r>
    </w:p>
    <w:p w14:paraId="5C64F95A" w14:textId="77777777" w:rsidR="001602C0" w:rsidRDefault="001602C0" w:rsidP="001602C0">
      <w:pPr>
        <w:spacing w:after="0"/>
        <w:ind w:left="2" w:firstLine="1"/>
        <w:rPr>
          <w:rFonts w:ascii="Calibri" w:hAnsi="Calibri"/>
          <w:sz w:val="24"/>
          <w:szCs w:val="24"/>
        </w:rPr>
      </w:pPr>
      <w:r>
        <w:rPr>
          <w:rFonts w:ascii="Calibri" w:hAnsi="Calibri"/>
          <w:sz w:val="24"/>
          <w:szCs w:val="24"/>
        </w:rPr>
        <w:t xml:space="preserve">                                                       Cambridgeshire  </w:t>
      </w:r>
    </w:p>
    <w:p w14:paraId="28BED6A0" w14:textId="77777777" w:rsidR="001602C0" w:rsidRDefault="001602C0" w:rsidP="001602C0">
      <w:pPr>
        <w:spacing w:after="180"/>
        <w:ind w:left="2977" w:firstLine="1"/>
        <w:rPr>
          <w:rFonts w:ascii="Calibri" w:hAnsi="Calibri"/>
          <w:sz w:val="24"/>
          <w:szCs w:val="24"/>
        </w:rPr>
      </w:pPr>
      <w:r>
        <w:rPr>
          <w:rFonts w:ascii="Calibri" w:hAnsi="Calibri"/>
          <w:sz w:val="24"/>
          <w:szCs w:val="24"/>
        </w:rPr>
        <w:t>PE19 8ER</w:t>
      </w:r>
    </w:p>
    <w:p w14:paraId="3C3C854D" w14:textId="0FC4B84B" w:rsidR="001602C0" w:rsidRDefault="001602C0" w:rsidP="001602C0">
      <w:pPr>
        <w:spacing w:after="180"/>
        <w:ind w:left="2977" w:hanging="2977"/>
        <w:rPr>
          <w:rFonts w:ascii="Calibri" w:hAnsi="Calibri"/>
          <w:b/>
          <w:sz w:val="24"/>
          <w:szCs w:val="24"/>
        </w:rPr>
      </w:pPr>
      <w:r>
        <w:rPr>
          <w:rFonts w:ascii="Calibri" w:hAnsi="Calibri"/>
          <w:b/>
          <w:color w:val="442359"/>
          <w:sz w:val="24"/>
          <w:szCs w:val="24"/>
        </w:rPr>
        <w:t xml:space="preserve">Corporate </w:t>
      </w:r>
      <w:r w:rsidRPr="009D0CED">
        <w:rPr>
          <w:rFonts w:ascii="Calibri" w:hAnsi="Calibri"/>
          <w:b/>
          <w:color w:val="442359"/>
          <w:sz w:val="24"/>
          <w:szCs w:val="24"/>
        </w:rPr>
        <w:t>Trustee</w:t>
      </w:r>
      <w:r>
        <w:rPr>
          <w:rFonts w:ascii="Calibri" w:hAnsi="Calibri"/>
          <w:b/>
          <w:sz w:val="24"/>
          <w:szCs w:val="24"/>
        </w:rPr>
        <w:tab/>
      </w:r>
      <w:r w:rsidRPr="0011122E">
        <w:rPr>
          <w:rFonts w:ascii="Calibri" w:hAnsi="Calibri"/>
          <w:sz w:val="24"/>
          <w:szCs w:val="24"/>
        </w:rPr>
        <w:t>The Thalidomide Trust</w:t>
      </w:r>
      <w:r>
        <w:rPr>
          <w:rFonts w:ascii="Calibri" w:hAnsi="Calibri"/>
          <w:sz w:val="24"/>
          <w:szCs w:val="24"/>
        </w:rPr>
        <w:t xml:space="preserve"> Company</w:t>
      </w:r>
      <w:r w:rsidR="00C64D7F">
        <w:rPr>
          <w:rFonts w:ascii="Calibri" w:hAnsi="Calibri"/>
          <w:sz w:val="24"/>
          <w:szCs w:val="24"/>
        </w:rPr>
        <w:t xml:space="preserve"> (</w:t>
      </w:r>
      <w:r w:rsidR="000F00DE">
        <w:rPr>
          <w:rFonts w:ascii="Calibri" w:hAnsi="Calibri"/>
          <w:sz w:val="24"/>
          <w:szCs w:val="24"/>
        </w:rPr>
        <w:t>i</w:t>
      </w:r>
      <w:r w:rsidR="00E315C1">
        <w:rPr>
          <w:rFonts w:ascii="Calibri" w:hAnsi="Calibri"/>
          <w:sz w:val="24"/>
          <w:szCs w:val="24"/>
        </w:rPr>
        <w:t xml:space="preserve">ncorporated on 19 January 2018 with </w:t>
      </w:r>
      <w:r w:rsidR="00C64D7F">
        <w:rPr>
          <w:rFonts w:ascii="Calibri" w:hAnsi="Calibri"/>
          <w:sz w:val="24"/>
          <w:szCs w:val="24"/>
        </w:rPr>
        <w:t>Company Number</w:t>
      </w:r>
      <w:r w:rsidR="00D8790B">
        <w:rPr>
          <w:rFonts w:ascii="Calibri" w:hAnsi="Calibri"/>
          <w:sz w:val="24"/>
          <w:szCs w:val="24"/>
        </w:rPr>
        <w:t xml:space="preserve"> 11160424, registered address as above)</w:t>
      </w:r>
    </w:p>
    <w:p w14:paraId="0A991B29" w14:textId="3221385B" w:rsidR="001602C0" w:rsidRDefault="001602C0" w:rsidP="001602C0">
      <w:pPr>
        <w:spacing w:after="120"/>
        <w:rPr>
          <w:rFonts w:ascii="Calibri" w:hAnsi="Calibri"/>
          <w:b/>
          <w:color w:val="442359"/>
          <w:sz w:val="24"/>
          <w:szCs w:val="24"/>
        </w:rPr>
      </w:pPr>
      <w:r>
        <w:rPr>
          <w:rFonts w:ascii="Calibri" w:hAnsi="Calibri"/>
          <w:b/>
          <w:color w:val="442359"/>
          <w:sz w:val="24"/>
          <w:szCs w:val="24"/>
        </w:rPr>
        <w:t>Directors</w:t>
      </w:r>
      <w:r w:rsidR="00D8790B">
        <w:rPr>
          <w:rFonts w:ascii="Calibri" w:hAnsi="Calibri"/>
          <w:b/>
          <w:color w:val="442359"/>
          <w:sz w:val="24"/>
          <w:szCs w:val="24"/>
        </w:rPr>
        <w:t xml:space="preserve"> of the Corporate Trustee Company</w:t>
      </w:r>
    </w:p>
    <w:p w14:paraId="2EB3ACFE" w14:textId="3B156C5B" w:rsidR="001602C0" w:rsidRDefault="001602C0" w:rsidP="001602C0">
      <w:pPr>
        <w:spacing w:after="0" w:line="240" w:lineRule="auto"/>
        <w:rPr>
          <w:rFonts w:ascii="Calibri" w:hAnsi="Calibri"/>
          <w:sz w:val="24"/>
          <w:szCs w:val="24"/>
        </w:rPr>
      </w:pPr>
      <w:r w:rsidRPr="00236281">
        <w:rPr>
          <w:rFonts w:ascii="Calibri" w:hAnsi="Calibri"/>
          <w:sz w:val="24"/>
          <w:szCs w:val="24"/>
        </w:rPr>
        <w:t>T</w:t>
      </w:r>
      <w:r>
        <w:rPr>
          <w:rFonts w:ascii="Calibri" w:hAnsi="Calibri"/>
          <w:sz w:val="24"/>
          <w:szCs w:val="24"/>
        </w:rPr>
        <w:t xml:space="preserve">he Directors of </w:t>
      </w:r>
      <w:r w:rsidRPr="0011122E">
        <w:rPr>
          <w:rFonts w:ascii="Calibri" w:hAnsi="Calibri"/>
          <w:sz w:val="24"/>
          <w:szCs w:val="24"/>
        </w:rPr>
        <w:t>The Thalidomide Trust</w:t>
      </w:r>
      <w:r>
        <w:rPr>
          <w:rFonts w:ascii="Calibri" w:hAnsi="Calibri"/>
          <w:sz w:val="24"/>
          <w:szCs w:val="24"/>
        </w:rPr>
        <w:t xml:space="preserve"> Company </w:t>
      </w:r>
      <w:r w:rsidR="00E315C1">
        <w:rPr>
          <w:rFonts w:ascii="Calibri" w:hAnsi="Calibri"/>
          <w:sz w:val="24"/>
          <w:szCs w:val="24"/>
        </w:rPr>
        <w:t xml:space="preserve">appointed on 19 January 2018 </w:t>
      </w:r>
      <w:r>
        <w:rPr>
          <w:rFonts w:ascii="Calibri" w:hAnsi="Calibri"/>
          <w:sz w:val="24"/>
          <w:szCs w:val="24"/>
        </w:rPr>
        <w:t>and up to the date of approval were:</w:t>
      </w:r>
    </w:p>
    <w:p w14:paraId="3E004F7C" w14:textId="77777777" w:rsidR="001602C0" w:rsidRPr="002848B1" w:rsidRDefault="001602C0" w:rsidP="001602C0">
      <w:pPr>
        <w:spacing w:after="120" w:line="240" w:lineRule="auto"/>
        <w:ind w:left="2257" w:firstLine="720"/>
        <w:rPr>
          <w:rFonts w:ascii="Calibri" w:hAnsi="Calibri" w:cs="Arial"/>
          <w:kern w:val="2"/>
          <w:sz w:val="24"/>
          <w:szCs w:val="24"/>
        </w:rPr>
      </w:pPr>
      <w:r w:rsidRPr="002848B1">
        <w:rPr>
          <w:rFonts w:ascii="Calibri" w:hAnsi="Calibri" w:cs="Arial"/>
          <w:kern w:val="2"/>
          <w:sz w:val="24"/>
          <w:szCs w:val="24"/>
        </w:rPr>
        <w:t>Sir Robert Nelson QC (Chai</w:t>
      </w:r>
      <w:r>
        <w:rPr>
          <w:rFonts w:ascii="Calibri" w:hAnsi="Calibri" w:cs="Arial"/>
          <w:kern w:val="2"/>
          <w:sz w:val="24"/>
          <w:szCs w:val="24"/>
        </w:rPr>
        <w:t>r of Trustees</w:t>
      </w:r>
      <w:r w:rsidRPr="002848B1">
        <w:rPr>
          <w:rFonts w:ascii="Calibri" w:hAnsi="Calibri" w:cs="Arial"/>
          <w:kern w:val="2"/>
          <w:sz w:val="24"/>
          <w:szCs w:val="24"/>
        </w:rPr>
        <w:t xml:space="preserve">) </w:t>
      </w:r>
    </w:p>
    <w:p w14:paraId="2CF61F44" w14:textId="77777777" w:rsidR="001602C0" w:rsidRPr="002848B1" w:rsidRDefault="001602C0" w:rsidP="001602C0">
      <w:pPr>
        <w:spacing w:after="120" w:line="240" w:lineRule="auto"/>
        <w:ind w:left="2257" w:firstLine="720"/>
        <w:rPr>
          <w:rFonts w:ascii="Calibri" w:hAnsi="Calibri" w:cs="Arial"/>
          <w:kern w:val="2"/>
          <w:sz w:val="24"/>
          <w:szCs w:val="24"/>
        </w:rPr>
      </w:pPr>
      <w:r w:rsidRPr="002848B1">
        <w:rPr>
          <w:rFonts w:ascii="Calibri" w:hAnsi="Calibri" w:cs="Arial"/>
          <w:kern w:val="2"/>
          <w:sz w:val="24"/>
          <w:szCs w:val="24"/>
        </w:rPr>
        <w:t xml:space="preserve">Mark </w:t>
      </w:r>
      <w:proofErr w:type="spellStart"/>
      <w:r w:rsidRPr="002848B1">
        <w:rPr>
          <w:rFonts w:ascii="Calibri" w:hAnsi="Calibri" w:cs="Arial"/>
          <w:kern w:val="2"/>
          <w:sz w:val="24"/>
          <w:szCs w:val="24"/>
        </w:rPr>
        <w:t>Spofforth</w:t>
      </w:r>
      <w:proofErr w:type="spellEnd"/>
      <w:r w:rsidRPr="002848B1">
        <w:rPr>
          <w:rFonts w:ascii="Calibri" w:hAnsi="Calibri" w:cs="Arial"/>
          <w:kern w:val="2"/>
          <w:sz w:val="24"/>
          <w:szCs w:val="24"/>
        </w:rPr>
        <w:t xml:space="preserve"> OBE BSc FCA CTA FRSA  </w:t>
      </w:r>
    </w:p>
    <w:p w14:paraId="791A37A9" w14:textId="77777777" w:rsidR="001602C0" w:rsidRPr="0016674D" w:rsidRDefault="001602C0" w:rsidP="001602C0">
      <w:pPr>
        <w:shd w:val="clear" w:color="auto" w:fill="FFFFFF"/>
        <w:spacing w:after="120" w:line="240" w:lineRule="auto"/>
        <w:ind w:firstLine="2977"/>
        <w:outlineLvl w:val="1"/>
        <w:rPr>
          <w:rFonts w:asciiTheme="minorHAnsi" w:hAnsiTheme="minorHAnsi" w:cs="Arial"/>
          <w:bCs/>
          <w:sz w:val="24"/>
          <w:szCs w:val="24"/>
          <w:lang w:eastAsia="en-GB"/>
        </w:rPr>
      </w:pPr>
      <w:r w:rsidRPr="002848B1">
        <w:rPr>
          <w:rFonts w:ascii="Calibri" w:hAnsi="Calibri" w:cs="Arial"/>
          <w:color w:val="000000"/>
          <w:sz w:val="24"/>
          <w:szCs w:val="24"/>
          <w:lang w:eastAsia="en-GB"/>
        </w:rPr>
        <w:t xml:space="preserve">Professor Tim Briggs </w:t>
      </w:r>
      <w:r>
        <w:rPr>
          <w:rFonts w:ascii="Calibri" w:hAnsi="Calibri" w:cs="Arial"/>
          <w:color w:val="000000"/>
          <w:sz w:val="24"/>
          <w:szCs w:val="24"/>
          <w:lang w:eastAsia="en-GB"/>
        </w:rPr>
        <w:t xml:space="preserve">CBE </w:t>
      </w:r>
      <w:r w:rsidRPr="0016674D">
        <w:rPr>
          <w:rFonts w:asciiTheme="minorHAnsi" w:hAnsiTheme="minorHAnsi" w:cs="Arial"/>
          <w:bCs/>
          <w:sz w:val="24"/>
          <w:szCs w:val="24"/>
          <w:lang w:eastAsia="en-GB"/>
        </w:rPr>
        <w:t xml:space="preserve">MD(Res), </w:t>
      </w:r>
      <w:proofErr w:type="spellStart"/>
      <w:r w:rsidRPr="0016674D">
        <w:rPr>
          <w:rFonts w:asciiTheme="minorHAnsi" w:hAnsiTheme="minorHAnsi" w:cs="Arial"/>
          <w:bCs/>
          <w:sz w:val="24"/>
          <w:szCs w:val="24"/>
          <w:lang w:eastAsia="en-GB"/>
        </w:rPr>
        <w:t>MCh</w:t>
      </w:r>
      <w:proofErr w:type="spellEnd"/>
      <w:r w:rsidRPr="0016674D">
        <w:rPr>
          <w:rFonts w:asciiTheme="minorHAnsi" w:hAnsiTheme="minorHAnsi" w:cs="Arial"/>
          <w:bCs/>
          <w:sz w:val="24"/>
          <w:szCs w:val="24"/>
          <w:lang w:eastAsia="en-GB"/>
        </w:rPr>
        <w:t>(Ort), FRCS</w:t>
      </w:r>
    </w:p>
    <w:p w14:paraId="7DD644ED" w14:textId="77777777" w:rsidR="001602C0" w:rsidRPr="002848B1" w:rsidRDefault="001602C0" w:rsidP="001602C0">
      <w:pPr>
        <w:tabs>
          <w:tab w:val="left" w:pos="2977"/>
        </w:tabs>
        <w:spacing w:after="120" w:line="240" w:lineRule="auto"/>
        <w:ind w:left="2160" w:firstLine="817"/>
        <w:rPr>
          <w:rFonts w:ascii="Calibri" w:hAnsi="Calibri" w:cs="Arial"/>
          <w:kern w:val="2"/>
          <w:sz w:val="24"/>
          <w:szCs w:val="24"/>
        </w:rPr>
      </w:pPr>
      <w:r w:rsidRPr="002848B1">
        <w:rPr>
          <w:rFonts w:ascii="Calibri" w:hAnsi="Calibri" w:cs="Arial"/>
          <w:kern w:val="2"/>
          <w:sz w:val="24"/>
          <w:szCs w:val="24"/>
        </w:rPr>
        <w:t>Professor Caroline Glendinning BA MPhil</w:t>
      </w:r>
      <w:r>
        <w:rPr>
          <w:rFonts w:ascii="Calibri" w:hAnsi="Calibri" w:cs="Arial"/>
          <w:kern w:val="2"/>
          <w:sz w:val="24"/>
          <w:szCs w:val="24"/>
        </w:rPr>
        <w:t xml:space="preserve"> </w:t>
      </w:r>
      <w:proofErr w:type="spellStart"/>
      <w:r>
        <w:rPr>
          <w:rFonts w:ascii="Calibri" w:hAnsi="Calibri" w:cs="Arial"/>
          <w:kern w:val="2"/>
          <w:sz w:val="24"/>
          <w:szCs w:val="24"/>
        </w:rPr>
        <w:t>AcSS</w:t>
      </w:r>
      <w:proofErr w:type="spellEnd"/>
    </w:p>
    <w:p w14:paraId="201F4617" w14:textId="77777777" w:rsidR="001602C0" w:rsidRPr="002848B1" w:rsidRDefault="001602C0" w:rsidP="001602C0">
      <w:pPr>
        <w:tabs>
          <w:tab w:val="left" w:pos="2977"/>
        </w:tabs>
        <w:spacing w:after="120" w:line="240" w:lineRule="auto"/>
        <w:ind w:left="2160" w:firstLine="817"/>
        <w:rPr>
          <w:rFonts w:ascii="Calibri" w:hAnsi="Calibri" w:cs="Arial"/>
          <w:kern w:val="2"/>
          <w:sz w:val="24"/>
          <w:szCs w:val="24"/>
        </w:rPr>
      </w:pPr>
      <w:r w:rsidRPr="002848B1">
        <w:rPr>
          <w:rFonts w:ascii="Calibri" w:hAnsi="Calibri" w:cs="Arial"/>
          <w:kern w:val="2"/>
          <w:sz w:val="24"/>
          <w:szCs w:val="24"/>
        </w:rPr>
        <w:t xml:space="preserve">Marlene Winfield OBE </w:t>
      </w:r>
      <w:r>
        <w:rPr>
          <w:rFonts w:ascii="Calibri" w:hAnsi="Calibri" w:cs="Arial"/>
          <w:kern w:val="2"/>
          <w:sz w:val="24"/>
          <w:szCs w:val="24"/>
        </w:rPr>
        <w:t>(Vice-Chair of Trustees)</w:t>
      </w:r>
    </w:p>
    <w:p w14:paraId="6AD09BEC" w14:textId="77777777" w:rsidR="001602C0" w:rsidRPr="002848B1" w:rsidRDefault="001602C0" w:rsidP="001602C0">
      <w:pPr>
        <w:tabs>
          <w:tab w:val="left" w:pos="2977"/>
        </w:tabs>
        <w:spacing w:after="120" w:line="240" w:lineRule="auto"/>
        <w:ind w:left="2160" w:firstLine="817"/>
        <w:rPr>
          <w:rFonts w:ascii="Calibri" w:hAnsi="Calibri" w:cs="Arial"/>
          <w:kern w:val="2"/>
          <w:sz w:val="24"/>
          <w:szCs w:val="24"/>
        </w:rPr>
      </w:pPr>
      <w:r w:rsidRPr="002848B1">
        <w:rPr>
          <w:rFonts w:ascii="Calibri" w:hAnsi="Calibri" w:cs="Arial"/>
          <w:kern w:val="2"/>
          <w:sz w:val="24"/>
          <w:szCs w:val="24"/>
        </w:rPr>
        <w:t>John Howard BSc</w:t>
      </w:r>
      <w:r>
        <w:rPr>
          <w:rFonts w:ascii="Calibri" w:hAnsi="Calibri" w:cs="Arial"/>
          <w:kern w:val="2"/>
          <w:sz w:val="24"/>
          <w:szCs w:val="24"/>
        </w:rPr>
        <w:t xml:space="preserve"> - retired September 2018</w:t>
      </w:r>
    </w:p>
    <w:p w14:paraId="5FFA9615" w14:textId="77777777" w:rsidR="001602C0" w:rsidRPr="002848B1" w:rsidRDefault="001602C0" w:rsidP="001602C0">
      <w:pPr>
        <w:tabs>
          <w:tab w:val="left" w:pos="2977"/>
        </w:tabs>
        <w:spacing w:after="120" w:line="240" w:lineRule="auto"/>
        <w:ind w:left="2977"/>
        <w:rPr>
          <w:rFonts w:ascii="Calibri" w:hAnsi="Calibri" w:cs="Arial"/>
          <w:kern w:val="2"/>
          <w:sz w:val="24"/>
          <w:szCs w:val="24"/>
        </w:rPr>
      </w:pPr>
      <w:r w:rsidRPr="002848B1">
        <w:rPr>
          <w:rFonts w:ascii="Calibri" w:hAnsi="Calibri" w:cs="Arial"/>
          <w:kern w:val="2"/>
          <w:sz w:val="24"/>
          <w:szCs w:val="24"/>
        </w:rPr>
        <w:t xml:space="preserve">Kevin </w:t>
      </w:r>
      <w:proofErr w:type="spellStart"/>
      <w:r w:rsidRPr="002848B1">
        <w:rPr>
          <w:rFonts w:ascii="Calibri" w:hAnsi="Calibri" w:cs="Arial"/>
          <w:kern w:val="2"/>
          <w:sz w:val="24"/>
          <w:szCs w:val="24"/>
        </w:rPr>
        <w:t>Wesbroom</w:t>
      </w:r>
      <w:proofErr w:type="spellEnd"/>
      <w:r w:rsidRPr="002848B1">
        <w:rPr>
          <w:rFonts w:ascii="Calibri" w:hAnsi="Calibri" w:cs="Arial"/>
          <w:kern w:val="2"/>
          <w:sz w:val="24"/>
          <w:szCs w:val="24"/>
        </w:rPr>
        <w:t xml:space="preserve"> MA </w:t>
      </w:r>
      <w:proofErr w:type="spellStart"/>
      <w:r w:rsidRPr="002848B1">
        <w:rPr>
          <w:rFonts w:ascii="Calibri" w:hAnsi="Calibri" w:cs="Arial"/>
          <w:kern w:val="2"/>
          <w:sz w:val="24"/>
          <w:szCs w:val="24"/>
        </w:rPr>
        <w:t>MA</w:t>
      </w:r>
      <w:proofErr w:type="spellEnd"/>
      <w:r w:rsidRPr="002848B1">
        <w:rPr>
          <w:rFonts w:ascii="Calibri" w:hAnsi="Calibri" w:cs="Arial"/>
          <w:kern w:val="2"/>
          <w:sz w:val="24"/>
          <w:szCs w:val="24"/>
        </w:rPr>
        <w:t xml:space="preserve"> FIA </w:t>
      </w:r>
    </w:p>
    <w:p w14:paraId="2B5C8C75" w14:textId="77777777" w:rsidR="001602C0" w:rsidRPr="002848B1" w:rsidRDefault="001602C0" w:rsidP="001602C0">
      <w:pPr>
        <w:tabs>
          <w:tab w:val="left" w:pos="2977"/>
        </w:tabs>
        <w:spacing w:after="120" w:line="240" w:lineRule="auto"/>
        <w:ind w:left="2977"/>
        <w:rPr>
          <w:rFonts w:ascii="Calibri" w:hAnsi="Calibri" w:cs="Arial"/>
          <w:color w:val="000000"/>
          <w:sz w:val="24"/>
          <w:szCs w:val="24"/>
          <w:lang w:eastAsia="en-GB"/>
        </w:rPr>
      </w:pPr>
      <w:r w:rsidRPr="002848B1">
        <w:rPr>
          <w:rFonts w:ascii="Calibri" w:hAnsi="Calibri" w:cs="Arial"/>
          <w:color w:val="000000"/>
          <w:sz w:val="24"/>
          <w:szCs w:val="24"/>
          <w:lang w:eastAsia="en-GB"/>
        </w:rPr>
        <w:t xml:space="preserve">Mark Benstead </w:t>
      </w:r>
      <w:r>
        <w:rPr>
          <w:rFonts w:ascii="Calibri" w:hAnsi="Calibri" w:cs="Arial"/>
          <w:color w:val="000000"/>
          <w:sz w:val="24"/>
          <w:szCs w:val="24"/>
          <w:lang w:eastAsia="en-GB"/>
        </w:rPr>
        <w:t>MA MBA</w:t>
      </w:r>
    </w:p>
    <w:p w14:paraId="18851C67" w14:textId="77777777" w:rsidR="001602C0" w:rsidRPr="00E36660" w:rsidRDefault="001602C0" w:rsidP="001602C0">
      <w:pPr>
        <w:tabs>
          <w:tab w:val="left" w:pos="2977"/>
        </w:tabs>
        <w:spacing w:after="240" w:line="240" w:lineRule="auto"/>
        <w:ind w:left="2977"/>
        <w:rPr>
          <w:rFonts w:ascii="Calibri" w:hAnsi="Calibri" w:cs="Arial"/>
          <w:color w:val="000000"/>
          <w:sz w:val="24"/>
          <w:szCs w:val="24"/>
          <w:lang w:eastAsia="en-GB"/>
        </w:rPr>
      </w:pPr>
      <w:r w:rsidRPr="00E36660">
        <w:rPr>
          <w:rFonts w:ascii="Calibri" w:hAnsi="Calibri" w:cs="Arial"/>
          <w:color w:val="000000"/>
          <w:sz w:val="24"/>
          <w:szCs w:val="24"/>
          <w:lang w:eastAsia="en-GB"/>
        </w:rPr>
        <w:t xml:space="preserve">David Body MA </w:t>
      </w:r>
      <w:r>
        <w:rPr>
          <w:rFonts w:ascii="Calibri" w:hAnsi="Calibri" w:cs="Arial"/>
          <w:color w:val="000000"/>
          <w:sz w:val="24"/>
          <w:szCs w:val="24"/>
          <w:lang w:eastAsia="en-GB"/>
        </w:rPr>
        <w:t xml:space="preserve">Solicitor of </w:t>
      </w:r>
      <w:r w:rsidRPr="00E36660">
        <w:rPr>
          <w:rFonts w:ascii="Calibri" w:hAnsi="Calibri" w:cs="Arial"/>
          <w:color w:val="000000"/>
          <w:sz w:val="24"/>
          <w:szCs w:val="24"/>
          <w:lang w:eastAsia="en-GB"/>
        </w:rPr>
        <w:t>Senior Courts of England &amp; Wales</w:t>
      </w:r>
    </w:p>
    <w:p w14:paraId="076F14B0" w14:textId="0EA7A029" w:rsidR="003E1F00" w:rsidRPr="00763657" w:rsidRDefault="003E1F00" w:rsidP="00E540A0">
      <w:pPr>
        <w:spacing w:after="120" w:line="240" w:lineRule="auto"/>
        <w:rPr>
          <w:rFonts w:ascii="Calibri" w:hAnsi="Calibri"/>
          <w:sz w:val="24"/>
          <w:szCs w:val="24"/>
        </w:rPr>
      </w:pPr>
      <w:r w:rsidRPr="00763657">
        <w:rPr>
          <w:rFonts w:ascii="Calibri" w:hAnsi="Calibri"/>
          <w:sz w:val="24"/>
          <w:szCs w:val="24"/>
        </w:rPr>
        <w:t>From 1 October 2017 to 18 January 2018 the above were Trustees of The Thalidomide Trust</w:t>
      </w:r>
      <w:r w:rsidR="000F00DE">
        <w:rPr>
          <w:rFonts w:ascii="Calibri" w:hAnsi="Calibri"/>
          <w:sz w:val="24"/>
          <w:szCs w:val="24"/>
        </w:rPr>
        <w:t>.</w:t>
      </w:r>
    </w:p>
    <w:p w14:paraId="459F623A" w14:textId="1FF7529B" w:rsidR="001602C0" w:rsidRDefault="001602C0" w:rsidP="001602C0">
      <w:pPr>
        <w:tabs>
          <w:tab w:val="left" w:pos="2694"/>
        </w:tabs>
        <w:spacing w:after="120" w:line="240" w:lineRule="auto"/>
        <w:ind w:left="2977" w:hanging="2977"/>
        <w:jc w:val="both"/>
        <w:rPr>
          <w:rFonts w:ascii="Calibri" w:hAnsi="Calibri" w:cs="Arial"/>
          <w:color w:val="000000"/>
          <w:sz w:val="24"/>
          <w:szCs w:val="24"/>
          <w:lang w:eastAsia="en-GB"/>
        </w:rPr>
      </w:pPr>
      <w:r w:rsidRPr="00AD6B5C">
        <w:rPr>
          <w:rFonts w:ascii="Calibri" w:hAnsi="Calibri" w:cs="Arial"/>
          <w:b/>
          <w:color w:val="442359"/>
          <w:sz w:val="24"/>
          <w:szCs w:val="24"/>
          <w:lang w:eastAsia="en-GB"/>
        </w:rPr>
        <w:t>Management team</w:t>
      </w:r>
      <w:r w:rsidRPr="00AD6B5C">
        <w:rPr>
          <w:rFonts w:ascii="Calibri" w:hAnsi="Calibri" w:cs="Arial"/>
          <w:b/>
          <w:color w:val="000000"/>
          <w:sz w:val="24"/>
          <w:szCs w:val="24"/>
          <w:lang w:eastAsia="en-GB"/>
        </w:rPr>
        <w:tab/>
      </w:r>
      <w:r w:rsidRPr="00AD6B5C">
        <w:rPr>
          <w:rFonts w:ascii="Calibri" w:hAnsi="Calibri" w:cs="Arial"/>
          <w:b/>
          <w:color w:val="000000"/>
          <w:sz w:val="24"/>
          <w:szCs w:val="24"/>
          <w:lang w:eastAsia="en-GB"/>
        </w:rPr>
        <w:tab/>
      </w:r>
      <w:r w:rsidRPr="00AD6B5C">
        <w:rPr>
          <w:rFonts w:ascii="Calibri" w:hAnsi="Calibri" w:cs="Arial"/>
          <w:color w:val="000000"/>
          <w:sz w:val="24"/>
          <w:szCs w:val="24"/>
          <w:lang w:eastAsia="en-GB"/>
        </w:rPr>
        <w:t>Deborah Jack</w:t>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sidR="00D8790B">
        <w:rPr>
          <w:rFonts w:ascii="Calibri" w:hAnsi="Calibri" w:cs="Arial"/>
          <w:color w:val="000000"/>
          <w:sz w:val="24"/>
          <w:szCs w:val="24"/>
          <w:lang w:eastAsia="en-GB"/>
        </w:rPr>
        <w:t xml:space="preserve"> - </w:t>
      </w:r>
      <w:r>
        <w:rPr>
          <w:rFonts w:ascii="Calibri" w:hAnsi="Calibri" w:cs="Arial"/>
          <w:color w:val="000000"/>
          <w:sz w:val="24"/>
          <w:szCs w:val="24"/>
          <w:lang w:eastAsia="en-GB"/>
        </w:rPr>
        <w:t xml:space="preserve">Executive </w:t>
      </w:r>
      <w:r w:rsidRPr="00AD6B5C">
        <w:rPr>
          <w:rFonts w:ascii="Calibri" w:hAnsi="Calibri" w:cs="Arial"/>
          <w:color w:val="000000"/>
          <w:sz w:val="24"/>
          <w:szCs w:val="24"/>
          <w:lang w:eastAsia="en-GB"/>
        </w:rPr>
        <w:t>Director</w:t>
      </w:r>
    </w:p>
    <w:p w14:paraId="0E881780" w14:textId="6E28BB01" w:rsidR="001602C0" w:rsidRPr="00AD6B5C" w:rsidRDefault="001602C0" w:rsidP="001602C0">
      <w:pPr>
        <w:tabs>
          <w:tab w:val="left" w:pos="2694"/>
        </w:tabs>
        <w:spacing w:after="120" w:line="240" w:lineRule="auto"/>
        <w:ind w:left="2977" w:hanging="2977"/>
        <w:jc w:val="both"/>
        <w:rPr>
          <w:rFonts w:ascii="Calibri" w:hAnsi="Calibri" w:cs="Arial"/>
          <w:color w:val="000000"/>
          <w:sz w:val="24"/>
          <w:szCs w:val="24"/>
          <w:lang w:eastAsia="en-GB"/>
        </w:rPr>
      </w:pPr>
      <w:r w:rsidRPr="00AD6B5C">
        <w:rPr>
          <w:rFonts w:ascii="Calibri" w:hAnsi="Calibri" w:cs="Arial"/>
          <w:b/>
          <w:color w:val="000000"/>
          <w:sz w:val="24"/>
          <w:szCs w:val="24"/>
          <w:lang w:eastAsia="en-GB"/>
        </w:rPr>
        <w:tab/>
      </w:r>
      <w:r w:rsidRPr="00AD6B5C">
        <w:rPr>
          <w:rFonts w:ascii="Calibri" w:hAnsi="Calibri" w:cs="Arial"/>
          <w:b/>
          <w:color w:val="000000"/>
          <w:sz w:val="24"/>
          <w:szCs w:val="24"/>
          <w:lang w:eastAsia="en-GB"/>
        </w:rPr>
        <w:tab/>
      </w:r>
      <w:r w:rsidRPr="00AD6B5C">
        <w:rPr>
          <w:rFonts w:ascii="Calibri" w:hAnsi="Calibri" w:cs="Arial"/>
          <w:color w:val="000000"/>
          <w:sz w:val="24"/>
          <w:szCs w:val="24"/>
          <w:lang w:eastAsia="en-GB"/>
        </w:rPr>
        <w:t>Jennifer Tunbridge</w:t>
      </w:r>
      <w:r>
        <w:rPr>
          <w:rFonts w:ascii="Calibri" w:hAnsi="Calibri" w:cs="Arial"/>
          <w:color w:val="000000"/>
          <w:sz w:val="24"/>
          <w:szCs w:val="24"/>
          <w:lang w:eastAsia="en-GB"/>
        </w:rPr>
        <w:t xml:space="preserve"> (to 30 June 201</w:t>
      </w:r>
      <w:r w:rsidR="00BC5EE4">
        <w:rPr>
          <w:rFonts w:ascii="Calibri" w:hAnsi="Calibri" w:cs="Arial"/>
          <w:color w:val="000000"/>
          <w:sz w:val="24"/>
          <w:szCs w:val="24"/>
          <w:lang w:eastAsia="en-GB"/>
        </w:rPr>
        <w:t>8</w:t>
      </w:r>
      <w:r>
        <w:rPr>
          <w:rFonts w:ascii="Calibri" w:hAnsi="Calibri" w:cs="Arial"/>
          <w:color w:val="000000"/>
          <w:sz w:val="24"/>
          <w:szCs w:val="24"/>
          <w:lang w:eastAsia="en-GB"/>
        </w:rPr>
        <w:t>)</w:t>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Pr>
          <w:rFonts w:ascii="Calibri" w:hAnsi="Calibri" w:cs="Arial"/>
          <w:color w:val="000000"/>
          <w:sz w:val="24"/>
          <w:szCs w:val="24"/>
          <w:lang w:eastAsia="en-GB"/>
        </w:rPr>
        <w:t xml:space="preserve"> </w:t>
      </w:r>
      <w:r w:rsidR="00D8790B">
        <w:rPr>
          <w:rFonts w:ascii="Calibri" w:hAnsi="Calibri" w:cs="Arial"/>
          <w:color w:val="000000"/>
          <w:sz w:val="24"/>
          <w:szCs w:val="24"/>
          <w:lang w:eastAsia="en-GB"/>
        </w:rPr>
        <w:t xml:space="preserve">- </w:t>
      </w:r>
      <w:r w:rsidRPr="00AD6B5C">
        <w:rPr>
          <w:rFonts w:ascii="Calibri" w:hAnsi="Calibri" w:cs="Arial"/>
          <w:color w:val="000000"/>
          <w:sz w:val="24"/>
          <w:szCs w:val="24"/>
          <w:lang w:eastAsia="en-GB"/>
        </w:rPr>
        <w:t>Finance Director</w:t>
      </w:r>
    </w:p>
    <w:p w14:paraId="15FA4778" w14:textId="7ED0C7FF" w:rsidR="001602C0" w:rsidRDefault="001602C0" w:rsidP="001602C0">
      <w:pPr>
        <w:tabs>
          <w:tab w:val="left" w:pos="2694"/>
        </w:tabs>
        <w:spacing w:after="120" w:line="240" w:lineRule="auto"/>
        <w:ind w:left="2977" w:hanging="2977"/>
        <w:jc w:val="both"/>
        <w:rPr>
          <w:rFonts w:ascii="Calibri" w:hAnsi="Calibri" w:cs="Arial"/>
          <w:color w:val="000000"/>
          <w:sz w:val="24"/>
          <w:szCs w:val="24"/>
          <w:lang w:eastAsia="en-GB"/>
        </w:rPr>
      </w:pPr>
      <w:r>
        <w:rPr>
          <w:rFonts w:ascii="Calibri" w:hAnsi="Calibri" w:cs="Arial"/>
          <w:color w:val="000000"/>
          <w:sz w:val="24"/>
          <w:szCs w:val="24"/>
          <w:lang w:eastAsia="en-GB"/>
        </w:rPr>
        <w:tab/>
      </w:r>
      <w:r>
        <w:rPr>
          <w:rFonts w:ascii="Calibri" w:hAnsi="Calibri" w:cs="Arial"/>
          <w:color w:val="000000"/>
          <w:sz w:val="24"/>
          <w:szCs w:val="24"/>
          <w:lang w:eastAsia="en-GB"/>
        </w:rPr>
        <w:tab/>
      </w:r>
      <w:r>
        <w:rPr>
          <w:rFonts w:ascii="Calibri" w:hAnsi="Calibri" w:cs="Arial"/>
          <w:color w:val="000000"/>
          <w:sz w:val="24"/>
          <w:szCs w:val="24"/>
          <w:lang w:eastAsia="en-GB"/>
        </w:rPr>
        <w:tab/>
        <w:t xml:space="preserve">Jane Darlington (from 9 July 2018) </w:t>
      </w:r>
      <w:r w:rsidR="00D8790B">
        <w:rPr>
          <w:rFonts w:ascii="Calibri" w:hAnsi="Calibri" w:cs="Arial"/>
          <w:color w:val="000000"/>
          <w:sz w:val="24"/>
          <w:szCs w:val="24"/>
          <w:lang w:eastAsia="en-GB"/>
        </w:rPr>
        <w:t xml:space="preserve">- </w:t>
      </w:r>
      <w:r w:rsidRPr="00AD6B5C">
        <w:rPr>
          <w:rFonts w:ascii="Calibri" w:hAnsi="Calibri" w:cs="Arial"/>
          <w:color w:val="000000"/>
          <w:sz w:val="24"/>
          <w:szCs w:val="24"/>
          <w:lang w:eastAsia="en-GB"/>
        </w:rPr>
        <w:t>Finance Director</w:t>
      </w:r>
    </w:p>
    <w:p w14:paraId="3D948263" w14:textId="19D7F5BA" w:rsidR="001602C0" w:rsidRDefault="001602C0" w:rsidP="001602C0">
      <w:pPr>
        <w:spacing w:after="240" w:line="240" w:lineRule="auto"/>
        <w:ind w:left="2977" w:hanging="2977"/>
        <w:jc w:val="both"/>
        <w:rPr>
          <w:rFonts w:ascii="Calibri" w:hAnsi="Calibri" w:cs="Arial"/>
          <w:color w:val="000000"/>
          <w:sz w:val="24"/>
          <w:szCs w:val="24"/>
          <w:lang w:eastAsia="en-GB"/>
        </w:rPr>
      </w:pPr>
      <w:r w:rsidRPr="00AD6B5C">
        <w:rPr>
          <w:rFonts w:ascii="Calibri" w:hAnsi="Calibri" w:cs="Arial"/>
          <w:color w:val="000000"/>
          <w:sz w:val="24"/>
          <w:szCs w:val="24"/>
          <w:lang w:eastAsia="en-GB"/>
        </w:rPr>
        <w:tab/>
      </w:r>
      <w:r>
        <w:rPr>
          <w:rFonts w:ascii="Calibri" w:hAnsi="Calibri" w:cs="Arial"/>
          <w:color w:val="000000"/>
          <w:sz w:val="24"/>
          <w:szCs w:val="24"/>
          <w:lang w:eastAsia="en-GB"/>
        </w:rPr>
        <w:t>Katy Sagoe</w:t>
      </w:r>
      <w:r w:rsidRPr="00AD6B5C">
        <w:rPr>
          <w:rFonts w:ascii="Calibri" w:hAnsi="Calibri" w:cs="Arial"/>
          <w:color w:val="000000"/>
          <w:sz w:val="24"/>
          <w:szCs w:val="24"/>
          <w:lang w:eastAsia="en-GB"/>
        </w:rPr>
        <w:t xml:space="preserve"> </w:t>
      </w:r>
      <w:r w:rsidR="00D8790B">
        <w:rPr>
          <w:rFonts w:ascii="Calibri" w:hAnsi="Calibri" w:cs="Arial"/>
          <w:color w:val="000000"/>
          <w:sz w:val="24"/>
          <w:szCs w:val="24"/>
          <w:lang w:eastAsia="en-GB"/>
        </w:rPr>
        <w:t>-</w:t>
      </w:r>
      <w:r>
        <w:rPr>
          <w:rFonts w:ascii="Calibri" w:hAnsi="Calibri" w:cs="Arial"/>
          <w:color w:val="000000"/>
          <w:sz w:val="24"/>
          <w:szCs w:val="24"/>
          <w:lang w:eastAsia="en-GB"/>
        </w:rPr>
        <w:t xml:space="preserve"> </w:t>
      </w:r>
      <w:r w:rsidRPr="00AD6B5C">
        <w:rPr>
          <w:rFonts w:ascii="Calibri" w:hAnsi="Calibri" w:cs="Arial"/>
          <w:color w:val="000000"/>
          <w:sz w:val="24"/>
          <w:szCs w:val="24"/>
          <w:lang w:eastAsia="en-GB"/>
        </w:rPr>
        <w:tab/>
        <w:t xml:space="preserve">Director of Health </w:t>
      </w:r>
      <w:r>
        <w:rPr>
          <w:rFonts w:ascii="Calibri" w:hAnsi="Calibri" w:cs="Arial"/>
          <w:color w:val="000000"/>
          <w:sz w:val="24"/>
          <w:szCs w:val="24"/>
          <w:lang w:eastAsia="en-GB"/>
        </w:rPr>
        <w:t>&amp;</w:t>
      </w:r>
      <w:r w:rsidRPr="00AD6B5C">
        <w:rPr>
          <w:rFonts w:ascii="Calibri" w:hAnsi="Calibri" w:cs="Arial"/>
          <w:color w:val="000000"/>
          <w:sz w:val="24"/>
          <w:szCs w:val="24"/>
          <w:lang w:eastAsia="en-GB"/>
        </w:rPr>
        <w:t xml:space="preserve"> Wellbeing</w:t>
      </w:r>
      <w:r>
        <w:rPr>
          <w:rFonts w:ascii="Calibri" w:hAnsi="Calibri" w:cs="Arial"/>
          <w:color w:val="000000"/>
          <w:sz w:val="24"/>
          <w:szCs w:val="24"/>
          <w:lang w:eastAsia="en-GB"/>
        </w:rPr>
        <w:t xml:space="preserve">        </w:t>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r w:rsidRPr="00AD6B5C">
        <w:rPr>
          <w:rFonts w:ascii="Calibri" w:hAnsi="Calibri" w:cs="Arial"/>
          <w:color w:val="000000"/>
          <w:sz w:val="24"/>
          <w:szCs w:val="24"/>
          <w:lang w:eastAsia="en-GB"/>
        </w:rPr>
        <w:tab/>
      </w:r>
    </w:p>
    <w:p w14:paraId="055AE7DC" w14:textId="77777777" w:rsidR="001602C0" w:rsidRDefault="001602C0" w:rsidP="001602C0">
      <w:pPr>
        <w:keepNext/>
        <w:keepLines/>
        <w:tabs>
          <w:tab w:val="left" w:pos="2977"/>
        </w:tabs>
        <w:spacing w:before="40" w:after="120" w:line="240" w:lineRule="auto"/>
        <w:ind w:left="2977" w:hanging="2977"/>
        <w:outlineLvl w:val="1"/>
        <w:rPr>
          <w:rFonts w:ascii="Calibri" w:hAnsi="Calibri" w:cs="Arial"/>
          <w:kern w:val="2"/>
          <w:sz w:val="24"/>
          <w:szCs w:val="24"/>
        </w:rPr>
      </w:pPr>
      <w:r w:rsidRPr="00AD6B5C">
        <w:rPr>
          <w:rFonts w:ascii="Calibri" w:hAnsi="Calibri"/>
          <w:b/>
          <w:color w:val="442359"/>
          <w:sz w:val="24"/>
          <w:szCs w:val="24"/>
        </w:rPr>
        <w:t>Medical Advis</w:t>
      </w:r>
      <w:r>
        <w:rPr>
          <w:rFonts w:ascii="Calibri" w:hAnsi="Calibri"/>
          <w:b/>
          <w:color w:val="442359"/>
          <w:sz w:val="24"/>
          <w:szCs w:val="24"/>
        </w:rPr>
        <w:t>e</w:t>
      </w:r>
      <w:r w:rsidRPr="00AD6B5C">
        <w:rPr>
          <w:rFonts w:ascii="Calibri" w:hAnsi="Calibri"/>
          <w:b/>
          <w:color w:val="442359"/>
          <w:sz w:val="24"/>
          <w:szCs w:val="24"/>
        </w:rPr>
        <w:t>r</w:t>
      </w:r>
      <w:r>
        <w:rPr>
          <w:rFonts w:ascii="Calibri" w:hAnsi="Calibri"/>
          <w:b/>
          <w:color w:val="442359"/>
          <w:sz w:val="24"/>
          <w:szCs w:val="24"/>
        </w:rPr>
        <w:t>s</w:t>
      </w:r>
      <w:r w:rsidRPr="00AD6B5C">
        <w:rPr>
          <w:rFonts w:ascii="Calibri" w:hAnsi="Calibri"/>
          <w:b/>
          <w:color w:val="7030A0"/>
          <w:sz w:val="24"/>
          <w:szCs w:val="24"/>
        </w:rPr>
        <w:tab/>
      </w:r>
      <w:r w:rsidRPr="00AD6B5C">
        <w:rPr>
          <w:rFonts w:ascii="Calibri" w:hAnsi="Calibri"/>
          <w:b/>
          <w:color w:val="7030A0"/>
          <w:sz w:val="24"/>
          <w:szCs w:val="24"/>
        </w:rPr>
        <w:tab/>
      </w:r>
      <w:r>
        <w:rPr>
          <w:rFonts w:ascii="Calibri" w:hAnsi="Calibri"/>
          <w:b/>
          <w:color w:val="7030A0"/>
          <w:sz w:val="24"/>
          <w:szCs w:val="24"/>
        </w:rPr>
        <w:tab/>
      </w:r>
      <w:r>
        <w:rPr>
          <w:rFonts w:ascii="Calibri" w:hAnsi="Calibri"/>
          <w:b/>
          <w:color w:val="7030A0"/>
          <w:sz w:val="24"/>
          <w:szCs w:val="24"/>
        </w:rPr>
        <w:tab/>
      </w:r>
      <w:r w:rsidRPr="00AD6B5C">
        <w:rPr>
          <w:rFonts w:ascii="Calibri" w:hAnsi="Calibri" w:cs="Arial"/>
          <w:kern w:val="2"/>
          <w:sz w:val="24"/>
          <w:szCs w:val="24"/>
        </w:rPr>
        <w:t>Dr Dee Morrison MB ChB</w:t>
      </w:r>
    </w:p>
    <w:p w14:paraId="0B7D98E0" w14:textId="2B9B0622" w:rsidR="001602C0" w:rsidRPr="00EC28A7" w:rsidRDefault="001602C0" w:rsidP="001602C0">
      <w:pPr>
        <w:keepNext/>
        <w:keepLines/>
        <w:tabs>
          <w:tab w:val="left" w:pos="2977"/>
        </w:tabs>
        <w:spacing w:before="40" w:after="240" w:line="240" w:lineRule="auto"/>
        <w:ind w:left="2977" w:hanging="2977"/>
        <w:outlineLvl w:val="1"/>
        <w:rPr>
          <w:rFonts w:ascii="Calibri" w:hAnsi="Calibri" w:cs="Arial"/>
          <w:kern w:val="2"/>
          <w:sz w:val="24"/>
          <w:szCs w:val="24"/>
        </w:rPr>
      </w:pPr>
      <w:r>
        <w:rPr>
          <w:rFonts w:ascii="Calibri" w:hAnsi="Calibri" w:cs="Arial"/>
          <w:kern w:val="2"/>
          <w:sz w:val="24"/>
          <w:szCs w:val="24"/>
        </w:rPr>
        <w:t xml:space="preserve">                                                       </w:t>
      </w:r>
      <w:r w:rsidRPr="00EC28A7">
        <w:rPr>
          <w:rFonts w:ascii="Calibri" w:hAnsi="Calibri" w:cs="Arial"/>
          <w:kern w:val="2"/>
          <w:sz w:val="24"/>
          <w:szCs w:val="24"/>
        </w:rPr>
        <w:t xml:space="preserve">Dr Susan Brennan </w:t>
      </w:r>
      <w:proofErr w:type="spellStart"/>
      <w:r w:rsidRPr="00EC28A7">
        <w:rPr>
          <w:rFonts w:ascii="Calibri" w:hAnsi="Calibri" w:cs="Arial"/>
          <w:kern w:val="2"/>
          <w:sz w:val="24"/>
          <w:szCs w:val="24"/>
        </w:rPr>
        <w:t>MBChB</w:t>
      </w:r>
      <w:proofErr w:type="spellEnd"/>
      <w:r w:rsidRPr="00EC28A7">
        <w:rPr>
          <w:rFonts w:ascii="Calibri" w:hAnsi="Calibri" w:cs="Arial"/>
          <w:kern w:val="2"/>
          <w:sz w:val="24"/>
          <w:szCs w:val="24"/>
        </w:rPr>
        <w:t xml:space="preserve"> MRCGP </w:t>
      </w:r>
    </w:p>
    <w:p w14:paraId="6C5E7475" w14:textId="77777777" w:rsidR="001602C0" w:rsidRPr="00AD6B5C" w:rsidRDefault="001602C0" w:rsidP="001602C0">
      <w:pPr>
        <w:spacing w:after="0" w:line="240" w:lineRule="auto"/>
        <w:ind w:left="2694" w:hanging="2694"/>
        <w:rPr>
          <w:rFonts w:ascii="Calibri" w:hAnsi="Calibri" w:cs="Arial"/>
          <w:kern w:val="2"/>
          <w:sz w:val="24"/>
          <w:szCs w:val="24"/>
        </w:rPr>
      </w:pPr>
      <w:r w:rsidRPr="00AD6B5C">
        <w:rPr>
          <w:rFonts w:ascii="Calibri" w:hAnsi="Calibri"/>
          <w:b/>
          <w:color w:val="442359"/>
          <w:sz w:val="24"/>
          <w:szCs w:val="24"/>
        </w:rPr>
        <w:t>Medical Expert</w:t>
      </w:r>
      <w:r w:rsidRPr="00AD6B5C">
        <w:rPr>
          <w:rFonts w:ascii="Calibri" w:hAnsi="Calibri"/>
          <w:b/>
          <w:color w:val="442359"/>
          <w:sz w:val="24"/>
          <w:szCs w:val="24"/>
        </w:rPr>
        <w:tab/>
      </w:r>
      <w:r w:rsidRPr="00AD6B5C">
        <w:rPr>
          <w:rFonts w:ascii="Calibri" w:eastAsia="Calibri" w:hAnsi="Calibri"/>
          <w:b/>
          <w:color w:val="7030A0"/>
          <w:sz w:val="22"/>
          <w:szCs w:val="22"/>
        </w:rPr>
        <w:tab/>
      </w:r>
      <w:r>
        <w:rPr>
          <w:rFonts w:ascii="Calibri" w:eastAsia="Calibri" w:hAnsi="Calibri"/>
          <w:b/>
          <w:color w:val="7030A0"/>
          <w:sz w:val="22"/>
          <w:szCs w:val="22"/>
        </w:rPr>
        <w:tab/>
      </w:r>
      <w:r>
        <w:rPr>
          <w:rFonts w:ascii="Calibri" w:eastAsia="Calibri" w:hAnsi="Calibri"/>
          <w:b/>
          <w:color w:val="7030A0"/>
          <w:sz w:val="22"/>
          <w:szCs w:val="22"/>
        </w:rPr>
        <w:tab/>
        <w:t xml:space="preserve">      </w:t>
      </w:r>
      <w:r w:rsidRPr="00AD6B5C">
        <w:rPr>
          <w:rFonts w:ascii="Calibri" w:hAnsi="Calibri" w:cs="Arial"/>
          <w:kern w:val="2"/>
          <w:sz w:val="24"/>
          <w:szCs w:val="24"/>
        </w:rPr>
        <w:t>Dr Claus G H Newman MBBS FRCP FRCPCH DCH</w:t>
      </w:r>
    </w:p>
    <w:p w14:paraId="7EA69759" w14:textId="77777777" w:rsidR="001602C0" w:rsidRPr="00AD6B5C" w:rsidRDefault="001602C0" w:rsidP="001602C0">
      <w:pPr>
        <w:spacing w:after="0" w:line="240" w:lineRule="auto"/>
        <w:rPr>
          <w:rFonts w:ascii="Calibri" w:hAnsi="Calibri" w:cs="Arial"/>
          <w:kern w:val="2"/>
          <w:sz w:val="24"/>
          <w:szCs w:val="24"/>
        </w:rPr>
      </w:pPr>
    </w:p>
    <w:p w14:paraId="5809326F" w14:textId="77777777" w:rsidR="001602C0" w:rsidRPr="00AD6B5C" w:rsidRDefault="001602C0" w:rsidP="001602C0">
      <w:pPr>
        <w:tabs>
          <w:tab w:val="left" w:pos="2694"/>
        </w:tabs>
        <w:spacing w:after="0" w:line="240" w:lineRule="auto"/>
        <w:rPr>
          <w:rFonts w:ascii="Calibri" w:hAnsi="Calibri" w:cs="Arial"/>
          <w:b/>
          <w:color w:val="7030A0"/>
          <w:kern w:val="2"/>
          <w:sz w:val="24"/>
          <w:szCs w:val="24"/>
        </w:rPr>
      </w:pPr>
      <w:r w:rsidRPr="00AD6B5C">
        <w:rPr>
          <w:rFonts w:ascii="Calibri" w:hAnsi="Calibri" w:cs="Arial"/>
          <w:b/>
          <w:color w:val="442359"/>
          <w:kern w:val="2"/>
          <w:sz w:val="24"/>
          <w:szCs w:val="24"/>
        </w:rPr>
        <w:t xml:space="preserve">Chair of </w:t>
      </w:r>
      <w:r>
        <w:rPr>
          <w:rFonts w:ascii="Calibri" w:hAnsi="Calibri" w:cs="Arial"/>
          <w:b/>
          <w:color w:val="442359"/>
          <w:kern w:val="2"/>
          <w:sz w:val="24"/>
          <w:szCs w:val="24"/>
        </w:rPr>
        <w:t>NAC</w:t>
      </w:r>
      <w:r>
        <w:rPr>
          <w:rFonts w:ascii="Calibri" w:hAnsi="Calibri" w:cs="Arial"/>
          <w:b/>
          <w:color w:val="7030A0"/>
          <w:kern w:val="2"/>
          <w:sz w:val="24"/>
          <w:szCs w:val="24"/>
        </w:rPr>
        <w:tab/>
        <w:t xml:space="preserve">      </w:t>
      </w:r>
      <w:r>
        <w:rPr>
          <w:rFonts w:ascii="Calibri" w:hAnsi="Calibri" w:cs="Arial"/>
          <w:kern w:val="2"/>
          <w:sz w:val="24"/>
          <w:szCs w:val="24"/>
        </w:rPr>
        <w:t xml:space="preserve">Rowland Bareham </w:t>
      </w:r>
    </w:p>
    <w:p w14:paraId="73E0A4F6" w14:textId="77777777" w:rsidR="001602C0" w:rsidRPr="00AD6B5C" w:rsidRDefault="001602C0" w:rsidP="001602C0">
      <w:pPr>
        <w:spacing w:after="0" w:line="240" w:lineRule="auto"/>
        <w:rPr>
          <w:rFonts w:ascii="Calibri" w:hAnsi="Calibri" w:cs="Arial"/>
          <w:b/>
          <w:color w:val="442359"/>
          <w:kern w:val="2"/>
          <w:sz w:val="24"/>
          <w:szCs w:val="24"/>
        </w:rPr>
      </w:pPr>
      <w:r w:rsidRPr="00AD6B5C">
        <w:rPr>
          <w:rFonts w:ascii="Calibri" w:hAnsi="Calibri" w:cs="Arial"/>
          <w:b/>
          <w:color w:val="442359"/>
          <w:kern w:val="2"/>
          <w:sz w:val="24"/>
          <w:szCs w:val="24"/>
        </w:rPr>
        <w:t>Advisory Council</w:t>
      </w:r>
    </w:p>
    <w:p w14:paraId="0C256D01" w14:textId="77777777" w:rsidR="001602C0" w:rsidRPr="00AD6B5C" w:rsidRDefault="001602C0" w:rsidP="001602C0">
      <w:pPr>
        <w:spacing w:after="0" w:line="240" w:lineRule="auto"/>
        <w:rPr>
          <w:rFonts w:ascii="Calibri" w:hAnsi="Calibri" w:cs="Arial"/>
          <w:b/>
          <w:color w:val="7030A0"/>
          <w:kern w:val="2"/>
          <w:sz w:val="24"/>
          <w:szCs w:val="24"/>
        </w:rPr>
      </w:pPr>
    </w:p>
    <w:p w14:paraId="12D367C1" w14:textId="77777777" w:rsidR="001602C0" w:rsidRDefault="001602C0" w:rsidP="001602C0">
      <w:pPr>
        <w:spacing w:after="0" w:line="240" w:lineRule="auto"/>
        <w:rPr>
          <w:rFonts w:ascii="Calibri" w:hAnsi="Calibri" w:cs="Arial"/>
          <w:b/>
          <w:color w:val="442359"/>
          <w:kern w:val="2"/>
          <w:sz w:val="24"/>
          <w:szCs w:val="24"/>
        </w:rPr>
      </w:pPr>
      <w:r>
        <w:rPr>
          <w:rFonts w:ascii="Calibri" w:hAnsi="Calibri" w:cs="Arial"/>
          <w:b/>
          <w:color w:val="442359"/>
          <w:kern w:val="2"/>
          <w:sz w:val="24"/>
          <w:szCs w:val="24"/>
        </w:rPr>
        <w:br w:type="page"/>
      </w:r>
    </w:p>
    <w:p w14:paraId="534006EB" w14:textId="2796D468" w:rsidR="001602C0" w:rsidRDefault="001602C0" w:rsidP="001602C0">
      <w:pPr>
        <w:spacing w:after="0" w:line="240" w:lineRule="auto"/>
        <w:rPr>
          <w:rFonts w:ascii="Calibri" w:hAnsi="Calibri" w:cs="Arial"/>
          <w:kern w:val="2"/>
          <w:sz w:val="24"/>
          <w:szCs w:val="24"/>
        </w:rPr>
      </w:pPr>
      <w:r w:rsidRPr="00AD6B5C">
        <w:rPr>
          <w:rFonts w:ascii="Calibri" w:hAnsi="Calibri" w:cs="Arial"/>
          <w:b/>
          <w:color w:val="442359"/>
          <w:kern w:val="2"/>
          <w:sz w:val="24"/>
          <w:szCs w:val="24"/>
        </w:rPr>
        <w:lastRenderedPageBreak/>
        <w:t>Investment Managers</w:t>
      </w:r>
      <w:r>
        <w:rPr>
          <w:rFonts w:ascii="Calibri" w:hAnsi="Calibri" w:cs="Arial"/>
          <w:b/>
          <w:color w:val="442359"/>
          <w:kern w:val="2"/>
          <w:sz w:val="24"/>
          <w:szCs w:val="24"/>
        </w:rPr>
        <w:t xml:space="preserve">         </w:t>
      </w:r>
      <w:r w:rsidRPr="00AD6B5C">
        <w:rPr>
          <w:rFonts w:ascii="Calibri" w:hAnsi="Calibri" w:cs="Arial"/>
          <w:kern w:val="2"/>
          <w:sz w:val="24"/>
          <w:szCs w:val="24"/>
        </w:rPr>
        <w:t xml:space="preserve">BlackRock   </w:t>
      </w:r>
      <w:r w:rsidRPr="00AD6B5C">
        <w:rPr>
          <w:rFonts w:ascii="Calibri" w:hAnsi="Calibri" w:cs="Arial"/>
          <w:kern w:val="2"/>
          <w:sz w:val="24"/>
          <w:szCs w:val="24"/>
        </w:rPr>
        <w:tab/>
      </w:r>
      <w:r w:rsidRPr="00AD6B5C">
        <w:rPr>
          <w:rFonts w:ascii="Calibri" w:hAnsi="Calibri" w:cs="Arial"/>
          <w:kern w:val="2"/>
          <w:sz w:val="24"/>
          <w:szCs w:val="24"/>
        </w:rPr>
        <w:tab/>
        <w:t xml:space="preserve">                                 </w:t>
      </w:r>
      <w:r w:rsidR="00BC5EE4">
        <w:rPr>
          <w:rFonts w:ascii="Calibri" w:hAnsi="Calibri" w:cs="Arial"/>
          <w:kern w:val="2"/>
          <w:sz w:val="24"/>
          <w:szCs w:val="24"/>
        </w:rPr>
        <w:t xml:space="preserve">  </w:t>
      </w:r>
      <w:proofErr w:type="spellStart"/>
      <w:r>
        <w:rPr>
          <w:rFonts w:ascii="Calibri" w:hAnsi="Calibri" w:cs="Arial"/>
          <w:kern w:val="2"/>
          <w:sz w:val="24"/>
          <w:szCs w:val="24"/>
        </w:rPr>
        <w:t>TwentyFour</w:t>
      </w:r>
      <w:proofErr w:type="spellEnd"/>
      <w:r>
        <w:rPr>
          <w:rFonts w:ascii="Calibri" w:hAnsi="Calibri" w:cs="Arial"/>
          <w:kern w:val="2"/>
          <w:sz w:val="24"/>
          <w:szCs w:val="24"/>
        </w:rPr>
        <w:t xml:space="preserve"> Asset Management</w:t>
      </w:r>
      <w:r w:rsidRPr="00AD6B5C">
        <w:rPr>
          <w:rFonts w:ascii="Calibri" w:hAnsi="Calibri" w:cs="Arial"/>
          <w:kern w:val="2"/>
          <w:sz w:val="24"/>
          <w:szCs w:val="24"/>
        </w:rPr>
        <w:t xml:space="preserve">                    </w:t>
      </w:r>
    </w:p>
    <w:p w14:paraId="5A563ADD" w14:textId="484DF329"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 xml:space="preserve"> </w:t>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ab/>
        <w:t xml:space="preserve">                                                </w:t>
      </w:r>
      <w:r w:rsidRPr="00AD6B5C">
        <w:rPr>
          <w:rFonts w:ascii="Calibri" w:hAnsi="Calibri" w:cs="Arial"/>
          <w:kern w:val="2"/>
          <w:sz w:val="24"/>
          <w:szCs w:val="24"/>
        </w:rPr>
        <w:t xml:space="preserve">12 Throgmorton Avenue    </w:t>
      </w:r>
      <w:r>
        <w:rPr>
          <w:rFonts w:ascii="Calibri" w:hAnsi="Calibri" w:cs="Arial"/>
          <w:kern w:val="2"/>
          <w:sz w:val="24"/>
          <w:szCs w:val="24"/>
        </w:rPr>
        <w:tab/>
        <w:t xml:space="preserve">      </w:t>
      </w:r>
      <w:r w:rsidR="00BC5EE4">
        <w:rPr>
          <w:rFonts w:ascii="Calibri" w:hAnsi="Calibri" w:cs="Arial"/>
          <w:kern w:val="2"/>
          <w:sz w:val="24"/>
          <w:szCs w:val="24"/>
        </w:rPr>
        <w:t xml:space="preserve">  </w:t>
      </w:r>
      <w:r>
        <w:rPr>
          <w:rFonts w:ascii="Calibri" w:hAnsi="Calibri" w:cs="Arial"/>
          <w:kern w:val="2"/>
          <w:sz w:val="24"/>
          <w:szCs w:val="24"/>
        </w:rPr>
        <w:t>8</w:t>
      </w:r>
      <w:r w:rsidRPr="009C3E4A">
        <w:rPr>
          <w:rFonts w:ascii="Calibri" w:hAnsi="Calibri" w:cs="Arial"/>
          <w:kern w:val="2"/>
          <w:sz w:val="24"/>
          <w:szCs w:val="24"/>
          <w:vertAlign w:val="superscript"/>
        </w:rPr>
        <w:t>th</w:t>
      </w:r>
      <w:r>
        <w:rPr>
          <w:rFonts w:ascii="Calibri" w:hAnsi="Calibri" w:cs="Arial"/>
          <w:kern w:val="2"/>
          <w:sz w:val="24"/>
          <w:szCs w:val="24"/>
        </w:rPr>
        <w:t xml:space="preserve"> Floor</w:t>
      </w:r>
      <w:r w:rsidRPr="00AD6B5C">
        <w:rPr>
          <w:rFonts w:ascii="Calibri" w:hAnsi="Calibri" w:cs="Arial"/>
          <w:kern w:val="2"/>
          <w:sz w:val="24"/>
          <w:szCs w:val="24"/>
        </w:rPr>
        <w:t xml:space="preserve">                                                                                                           </w:t>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London</w:t>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t xml:space="preserve">                                        </w:t>
      </w:r>
      <w:r w:rsidR="00BC5EE4">
        <w:rPr>
          <w:rFonts w:ascii="Calibri" w:hAnsi="Calibri" w:cs="Arial"/>
          <w:kern w:val="2"/>
          <w:sz w:val="24"/>
          <w:szCs w:val="24"/>
        </w:rPr>
        <w:t xml:space="preserve">  </w:t>
      </w:r>
      <w:r>
        <w:rPr>
          <w:rFonts w:ascii="Calibri" w:hAnsi="Calibri" w:cs="Arial"/>
          <w:kern w:val="2"/>
          <w:sz w:val="24"/>
          <w:szCs w:val="24"/>
        </w:rPr>
        <w:t>The Monument Building</w:t>
      </w:r>
    </w:p>
    <w:p w14:paraId="391D13CA" w14:textId="71763566"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EC2N 2DL</w:t>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t xml:space="preserve">                                    </w:t>
      </w:r>
      <w:r w:rsidR="00BC5EE4">
        <w:rPr>
          <w:rFonts w:ascii="Calibri" w:hAnsi="Calibri" w:cs="Arial"/>
          <w:kern w:val="2"/>
          <w:sz w:val="24"/>
          <w:szCs w:val="24"/>
        </w:rPr>
        <w:t xml:space="preserve">  </w:t>
      </w:r>
      <w:r>
        <w:rPr>
          <w:rFonts w:ascii="Calibri" w:hAnsi="Calibri" w:cs="Arial"/>
          <w:kern w:val="2"/>
          <w:sz w:val="24"/>
          <w:szCs w:val="24"/>
        </w:rPr>
        <w:t>11 Monument Street</w:t>
      </w:r>
    </w:p>
    <w:p w14:paraId="2B8D0E9E" w14:textId="5EEB6B29" w:rsidR="001602C0" w:rsidRDefault="001602C0" w:rsidP="001602C0">
      <w:pPr>
        <w:spacing w:after="0" w:line="240" w:lineRule="auto"/>
        <w:rPr>
          <w:rFonts w:ascii="Calibri" w:hAnsi="Calibri" w:cs="Arial"/>
          <w:kern w:val="2"/>
          <w:sz w:val="24"/>
          <w:szCs w:val="24"/>
        </w:rPr>
      </w:pPr>
      <w:r>
        <w:rPr>
          <w:rFonts w:ascii="Calibri" w:hAnsi="Calibri" w:cs="Arial"/>
          <w:kern w:val="2"/>
          <w:sz w:val="24"/>
          <w:szCs w:val="24"/>
        </w:rPr>
        <w:t xml:space="preserve">                                                                                                       </w:t>
      </w:r>
      <w:r w:rsidR="00BC5EE4">
        <w:rPr>
          <w:rFonts w:ascii="Calibri" w:hAnsi="Calibri" w:cs="Arial"/>
          <w:kern w:val="2"/>
          <w:sz w:val="24"/>
          <w:szCs w:val="24"/>
        </w:rPr>
        <w:t xml:space="preserve">  </w:t>
      </w:r>
      <w:r>
        <w:rPr>
          <w:rFonts w:ascii="Calibri" w:hAnsi="Calibri" w:cs="Arial"/>
          <w:kern w:val="2"/>
          <w:sz w:val="24"/>
          <w:szCs w:val="24"/>
        </w:rPr>
        <w:t>London</w:t>
      </w:r>
    </w:p>
    <w:p w14:paraId="5D767BE5" w14:textId="087AED53" w:rsidR="001602C0" w:rsidRDefault="001602C0" w:rsidP="001602C0">
      <w:pPr>
        <w:spacing w:after="120" w:line="240" w:lineRule="auto"/>
        <w:rPr>
          <w:rFonts w:ascii="Calibri" w:hAnsi="Calibri" w:cs="Arial"/>
          <w:kern w:val="2"/>
          <w:sz w:val="24"/>
          <w:szCs w:val="24"/>
        </w:rPr>
      </w:pPr>
      <w:r>
        <w:rPr>
          <w:rFonts w:ascii="Calibri" w:hAnsi="Calibri" w:cs="Arial"/>
          <w:kern w:val="2"/>
          <w:sz w:val="24"/>
          <w:szCs w:val="24"/>
        </w:rPr>
        <w:t xml:space="preserve">                                                                                                       </w:t>
      </w:r>
      <w:r w:rsidR="00BC5EE4">
        <w:rPr>
          <w:rFonts w:ascii="Calibri" w:hAnsi="Calibri" w:cs="Arial"/>
          <w:kern w:val="2"/>
          <w:sz w:val="24"/>
          <w:szCs w:val="24"/>
        </w:rPr>
        <w:t xml:space="preserve">  </w:t>
      </w:r>
      <w:r>
        <w:rPr>
          <w:rFonts w:ascii="Calibri" w:hAnsi="Calibri" w:cs="Arial"/>
          <w:kern w:val="2"/>
          <w:sz w:val="24"/>
          <w:szCs w:val="24"/>
        </w:rPr>
        <w:t>EC2R 8AF</w:t>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t xml:space="preserve">                                                     </w:t>
      </w:r>
    </w:p>
    <w:p w14:paraId="257BD862"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Schroders Investment Management Limited</w:t>
      </w:r>
    </w:p>
    <w:p w14:paraId="1B28F96D" w14:textId="77777777" w:rsidR="001602C0" w:rsidRPr="00EC28A7"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1 London Wall Place</w:t>
      </w:r>
    </w:p>
    <w:p w14:paraId="0DF58B90" w14:textId="77777777" w:rsidR="001602C0" w:rsidRPr="00AD6B5C" w:rsidRDefault="001602C0" w:rsidP="001602C0">
      <w:pPr>
        <w:spacing w:after="0" w:line="240" w:lineRule="auto"/>
        <w:ind w:left="1" w:firstLine="1"/>
        <w:rPr>
          <w:rFonts w:ascii="Calibri" w:hAnsi="Calibri" w:cs="Arial"/>
          <w:kern w:val="2"/>
          <w:sz w:val="24"/>
          <w:szCs w:val="24"/>
        </w:rPr>
      </w:pPr>
      <w:r>
        <w:rPr>
          <w:rFonts w:ascii="Calibri" w:hAnsi="Calibri" w:cs="Arial"/>
          <w:kern w:val="2"/>
          <w:sz w:val="24"/>
          <w:szCs w:val="24"/>
        </w:rPr>
        <w:t xml:space="preserve">                                                 London Wall</w:t>
      </w:r>
    </w:p>
    <w:p w14:paraId="1FF7D94C"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London</w:t>
      </w:r>
    </w:p>
    <w:p w14:paraId="0258051E" w14:textId="77777777" w:rsidR="001602C0" w:rsidRPr="00EC28A7" w:rsidRDefault="001602C0" w:rsidP="001602C0">
      <w:pPr>
        <w:spacing w:after="180" w:line="240" w:lineRule="auto"/>
        <w:rPr>
          <w:rFonts w:ascii="Calibri" w:hAnsi="Calibri" w:cs="Arial"/>
          <w:kern w:val="2"/>
          <w:sz w:val="24"/>
          <w:szCs w:val="24"/>
        </w:rPr>
      </w:pPr>
      <w:r>
        <w:rPr>
          <w:rFonts w:ascii="Calibri" w:hAnsi="Calibri" w:cs="Arial"/>
          <w:kern w:val="2"/>
          <w:sz w:val="24"/>
          <w:szCs w:val="24"/>
        </w:rPr>
        <w:t xml:space="preserve">                                                 </w:t>
      </w:r>
      <w:r>
        <w:rPr>
          <w:rFonts w:ascii="Calibri" w:hAnsi="Calibri" w:cs="Arial"/>
          <w:kern w:val="2"/>
          <w:sz w:val="24"/>
          <w:szCs w:val="24"/>
        </w:rPr>
        <w:tab/>
      </w:r>
      <w:r w:rsidRPr="00EC28A7">
        <w:rPr>
          <w:rFonts w:ascii="Calibri" w:hAnsi="Calibri" w:cs="Arial"/>
          <w:kern w:val="2"/>
          <w:sz w:val="24"/>
          <w:szCs w:val="24"/>
        </w:rPr>
        <w:t>EC2Y 5AU</w:t>
      </w:r>
    </w:p>
    <w:p w14:paraId="05C8EE79"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b/>
          <w:color w:val="442359"/>
          <w:kern w:val="2"/>
          <w:sz w:val="24"/>
          <w:szCs w:val="24"/>
        </w:rPr>
        <w:t>Solicitors</w:t>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Pr>
          <w:rFonts w:ascii="Calibri" w:hAnsi="Calibri" w:cs="Arial"/>
          <w:b/>
          <w:color w:val="7030A0"/>
          <w:kern w:val="2"/>
          <w:sz w:val="24"/>
          <w:szCs w:val="24"/>
        </w:rPr>
        <w:t xml:space="preserve">                                </w:t>
      </w:r>
      <w:r w:rsidRPr="00AD6B5C">
        <w:rPr>
          <w:rFonts w:ascii="Calibri" w:hAnsi="Calibri" w:cs="Arial"/>
          <w:kern w:val="2"/>
          <w:sz w:val="24"/>
          <w:szCs w:val="24"/>
        </w:rPr>
        <w:t>Withers</w:t>
      </w:r>
      <w:r>
        <w:rPr>
          <w:rFonts w:ascii="Calibri" w:hAnsi="Calibri" w:cs="Arial"/>
          <w:kern w:val="2"/>
          <w:sz w:val="24"/>
          <w:szCs w:val="24"/>
        </w:rPr>
        <w:t xml:space="preserve">                                            </w:t>
      </w:r>
      <w:proofErr w:type="spellStart"/>
      <w:r>
        <w:rPr>
          <w:rFonts w:ascii="Calibri" w:hAnsi="Calibri" w:cs="Arial"/>
          <w:kern w:val="2"/>
          <w:sz w:val="24"/>
          <w:szCs w:val="24"/>
        </w:rPr>
        <w:t>Hewitsons</w:t>
      </w:r>
      <w:proofErr w:type="spellEnd"/>
    </w:p>
    <w:p w14:paraId="08714FA3" w14:textId="14EC393D"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20</w:t>
      </w:r>
      <w:r w:rsidRPr="00AD6B5C">
        <w:rPr>
          <w:rFonts w:ascii="Calibri" w:hAnsi="Calibri" w:cs="Arial"/>
          <w:kern w:val="2"/>
          <w:sz w:val="24"/>
          <w:szCs w:val="24"/>
        </w:rPr>
        <w:t xml:space="preserve"> Old Bailey</w:t>
      </w:r>
      <w:r>
        <w:rPr>
          <w:rFonts w:ascii="Calibri" w:hAnsi="Calibri" w:cs="Arial"/>
          <w:kern w:val="2"/>
          <w:sz w:val="24"/>
          <w:szCs w:val="24"/>
        </w:rPr>
        <w:t xml:space="preserve">                                  Shakespeare House</w:t>
      </w:r>
    </w:p>
    <w:p w14:paraId="7E08C2BE" w14:textId="455C8D3C"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London</w:t>
      </w:r>
      <w:r>
        <w:rPr>
          <w:rFonts w:ascii="Calibri" w:hAnsi="Calibri" w:cs="Arial"/>
          <w:kern w:val="2"/>
          <w:sz w:val="24"/>
          <w:szCs w:val="24"/>
        </w:rPr>
        <w:t xml:space="preserve">                                            42 Newmarket Road</w:t>
      </w:r>
    </w:p>
    <w:p w14:paraId="31240038" w14:textId="0AA319DB" w:rsidR="001602C0"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 xml:space="preserve">EC4M </w:t>
      </w:r>
      <w:r>
        <w:rPr>
          <w:rFonts w:ascii="Calibri" w:hAnsi="Calibri" w:cs="Arial"/>
          <w:kern w:val="2"/>
          <w:sz w:val="24"/>
          <w:szCs w:val="24"/>
        </w:rPr>
        <w:t>7AN                                       Cambridge</w:t>
      </w:r>
    </w:p>
    <w:p w14:paraId="4D292767" w14:textId="2E239EFB" w:rsidR="001602C0" w:rsidRPr="00AD6B5C" w:rsidRDefault="001602C0" w:rsidP="001602C0">
      <w:pPr>
        <w:spacing w:after="180" w:line="240" w:lineRule="auto"/>
        <w:rPr>
          <w:rFonts w:ascii="Calibri" w:hAnsi="Calibri" w:cs="Arial"/>
          <w:kern w:val="2"/>
          <w:sz w:val="24"/>
          <w:szCs w:val="24"/>
        </w:rPr>
      </w:pP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t xml:space="preserve">                                                                                                           CB5 8EP</w:t>
      </w:r>
    </w:p>
    <w:p w14:paraId="3ED98A10"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b/>
          <w:color w:val="442359"/>
          <w:kern w:val="2"/>
          <w:sz w:val="24"/>
          <w:szCs w:val="24"/>
        </w:rPr>
        <w:t>Actuaries</w:t>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Pr>
          <w:rFonts w:ascii="Calibri" w:hAnsi="Calibri" w:cs="Arial"/>
          <w:b/>
          <w:color w:val="7030A0"/>
          <w:kern w:val="2"/>
          <w:sz w:val="24"/>
          <w:szCs w:val="24"/>
        </w:rPr>
        <w:t xml:space="preserve">                               </w:t>
      </w:r>
      <w:r w:rsidRPr="00AD6B5C">
        <w:rPr>
          <w:rFonts w:ascii="Calibri" w:hAnsi="Calibri" w:cs="Arial"/>
          <w:kern w:val="2"/>
          <w:sz w:val="24"/>
          <w:szCs w:val="24"/>
        </w:rPr>
        <w:t>Mercer</w:t>
      </w:r>
    </w:p>
    <w:p w14:paraId="3A925404"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1 Tower Place West</w:t>
      </w:r>
    </w:p>
    <w:p w14:paraId="1AADECE1"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London</w:t>
      </w:r>
    </w:p>
    <w:p w14:paraId="1D653BE6" w14:textId="77777777" w:rsidR="001602C0" w:rsidRPr="00AD6B5C" w:rsidRDefault="001602C0" w:rsidP="001602C0">
      <w:pPr>
        <w:spacing w:after="18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EC3R 5BU</w:t>
      </w:r>
    </w:p>
    <w:p w14:paraId="4FB796F5"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b/>
          <w:color w:val="442359"/>
          <w:kern w:val="2"/>
          <w:sz w:val="24"/>
          <w:szCs w:val="24"/>
        </w:rPr>
        <w:t>Bankers</w:t>
      </w:r>
      <w:r>
        <w:rPr>
          <w:rFonts w:ascii="Calibri" w:hAnsi="Calibri" w:cs="Arial"/>
          <w:b/>
          <w:color w:val="442359"/>
          <w:kern w:val="2"/>
          <w:sz w:val="24"/>
          <w:szCs w:val="24"/>
        </w:rPr>
        <w:t xml:space="preserve">                                  </w:t>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sidRPr="00AD6B5C">
        <w:rPr>
          <w:rFonts w:ascii="Calibri" w:hAnsi="Calibri" w:cs="Arial"/>
          <w:b/>
          <w:color w:val="7030A0"/>
          <w:kern w:val="2"/>
          <w:sz w:val="24"/>
          <w:szCs w:val="24"/>
        </w:rPr>
        <w:tab/>
      </w:r>
      <w:r w:rsidRPr="00AD6B5C">
        <w:rPr>
          <w:rFonts w:ascii="Calibri" w:hAnsi="Calibri" w:cs="Arial"/>
          <w:kern w:val="2"/>
          <w:sz w:val="24"/>
          <w:szCs w:val="24"/>
        </w:rPr>
        <w:t>Lloyds Bank</w:t>
      </w:r>
    </w:p>
    <w:p w14:paraId="51271BE1"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 xml:space="preserve">39 </w:t>
      </w:r>
      <w:proofErr w:type="spellStart"/>
      <w:r w:rsidRPr="00AD6B5C">
        <w:rPr>
          <w:rFonts w:ascii="Calibri" w:hAnsi="Calibri" w:cs="Arial"/>
          <w:kern w:val="2"/>
          <w:sz w:val="24"/>
          <w:szCs w:val="24"/>
        </w:rPr>
        <w:t>Threadneedle</w:t>
      </w:r>
      <w:proofErr w:type="spellEnd"/>
      <w:r w:rsidRPr="00AD6B5C">
        <w:rPr>
          <w:rFonts w:ascii="Calibri" w:hAnsi="Calibri" w:cs="Arial"/>
          <w:kern w:val="2"/>
          <w:sz w:val="24"/>
          <w:szCs w:val="24"/>
        </w:rPr>
        <w:t xml:space="preserve"> Street</w:t>
      </w:r>
    </w:p>
    <w:p w14:paraId="64656FA3"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London</w:t>
      </w:r>
    </w:p>
    <w:p w14:paraId="2278A572" w14:textId="77777777" w:rsidR="001602C0" w:rsidRPr="00AD6B5C" w:rsidRDefault="001602C0" w:rsidP="001602C0">
      <w:pPr>
        <w:spacing w:after="18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Pr>
          <w:rFonts w:ascii="Calibri" w:hAnsi="Calibri" w:cs="Arial"/>
          <w:kern w:val="2"/>
          <w:sz w:val="24"/>
          <w:szCs w:val="24"/>
        </w:rPr>
        <w:t xml:space="preserve">                                                </w:t>
      </w:r>
      <w:r w:rsidRPr="00AD6B5C">
        <w:rPr>
          <w:rFonts w:ascii="Calibri" w:hAnsi="Calibri" w:cs="Arial"/>
          <w:kern w:val="2"/>
          <w:sz w:val="24"/>
          <w:szCs w:val="24"/>
        </w:rPr>
        <w:t>EC2R 8AU</w:t>
      </w:r>
    </w:p>
    <w:p w14:paraId="096FC91B" w14:textId="77777777" w:rsidR="001602C0" w:rsidRPr="00AD6B5C" w:rsidRDefault="001602C0" w:rsidP="001602C0">
      <w:pPr>
        <w:spacing w:after="0" w:line="240" w:lineRule="auto"/>
        <w:rPr>
          <w:rFonts w:ascii="Calibri" w:hAnsi="Calibri" w:cs="Arial"/>
          <w:b/>
          <w:kern w:val="2"/>
          <w:sz w:val="24"/>
          <w:szCs w:val="24"/>
        </w:rPr>
      </w:pPr>
      <w:r>
        <w:rPr>
          <w:rFonts w:ascii="Calibri" w:hAnsi="Calibri" w:cs="Arial"/>
          <w:b/>
          <w:color w:val="442359"/>
          <w:kern w:val="2"/>
          <w:sz w:val="24"/>
          <w:szCs w:val="24"/>
        </w:rPr>
        <w:t>Independent a</w:t>
      </w:r>
      <w:r w:rsidRPr="00AD6B5C">
        <w:rPr>
          <w:rFonts w:ascii="Calibri" w:hAnsi="Calibri" w:cs="Arial"/>
          <w:b/>
          <w:color w:val="442359"/>
          <w:kern w:val="2"/>
          <w:sz w:val="24"/>
          <w:szCs w:val="24"/>
        </w:rPr>
        <w:t>uditors</w:t>
      </w:r>
      <w:r>
        <w:rPr>
          <w:rFonts w:ascii="Calibri" w:hAnsi="Calibri" w:cs="Arial"/>
          <w:b/>
          <w:color w:val="442359"/>
          <w:kern w:val="2"/>
          <w:sz w:val="24"/>
          <w:szCs w:val="24"/>
        </w:rPr>
        <w:tab/>
      </w:r>
      <w:r>
        <w:rPr>
          <w:rFonts w:ascii="Calibri" w:hAnsi="Calibri" w:cs="Arial"/>
          <w:b/>
          <w:color w:val="442359"/>
          <w:kern w:val="2"/>
          <w:sz w:val="24"/>
          <w:szCs w:val="24"/>
        </w:rPr>
        <w:tab/>
      </w:r>
      <w:r>
        <w:rPr>
          <w:rFonts w:ascii="Calibri" w:hAnsi="Calibri" w:cs="Arial"/>
          <w:b/>
          <w:color w:val="7030A0"/>
          <w:kern w:val="2"/>
          <w:sz w:val="24"/>
          <w:szCs w:val="24"/>
        </w:rPr>
        <w:tab/>
        <w:t xml:space="preserve">        </w:t>
      </w:r>
      <w:r w:rsidRPr="00AD6B5C">
        <w:rPr>
          <w:rFonts w:ascii="Calibri" w:hAnsi="Calibri" w:cs="Arial"/>
          <w:kern w:val="2"/>
          <w:sz w:val="24"/>
          <w:szCs w:val="24"/>
        </w:rPr>
        <w:t>PricewaterhouseCoopers LLP</w:t>
      </w:r>
      <w:r w:rsidRPr="00AD6B5C">
        <w:rPr>
          <w:rFonts w:ascii="Calibri" w:hAnsi="Calibri" w:cs="Arial"/>
          <w:b/>
          <w:kern w:val="2"/>
          <w:sz w:val="24"/>
          <w:szCs w:val="24"/>
        </w:rPr>
        <w:t xml:space="preserve"> </w:t>
      </w:r>
    </w:p>
    <w:p w14:paraId="2003857A" w14:textId="4E571F88" w:rsidR="00D8790B" w:rsidRDefault="001602C0" w:rsidP="00C64D7F">
      <w:pPr>
        <w:spacing w:after="0" w:line="240" w:lineRule="auto"/>
        <w:rPr>
          <w:rFonts w:ascii="Calibri" w:hAnsi="Calibri" w:cs="Arial"/>
          <w:kern w:val="2"/>
          <w:sz w:val="24"/>
          <w:szCs w:val="24"/>
        </w:rPr>
      </w:pPr>
      <w:r w:rsidRPr="00AD6B5C">
        <w:rPr>
          <w:rFonts w:ascii="Calibri" w:hAnsi="Calibri" w:cs="Arial"/>
          <w:b/>
          <w:kern w:val="2"/>
          <w:sz w:val="24"/>
          <w:szCs w:val="24"/>
        </w:rPr>
        <w:tab/>
      </w:r>
      <w:r w:rsidRPr="00AD6B5C">
        <w:rPr>
          <w:rFonts w:ascii="Calibri" w:hAnsi="Calibri" w:cs="Arial"/>
          <w:b/>
          <w:kern w:val="2"/>
          <w:sz w:val="24"/>
          <w:szCs w:val="24"/>
        </w:rPr>
        <w:tab/>
      </w:r>
      <w:r w:rsidRPr="00AD6B5C">
        <w:rPr>
          <w:rFonts w:ascii="Calibri" w:hAnsi="Calibri" w:cs="Arial"/>
          <w:b/>
          <w:kern w:val="2"/>
          <w:sz w:val="24"/>
          <w:szCs w:val="24"/>
        </w:rPr>
        <w:tab/>
      </w:r>
      <w:r w:rsidRPr="00AD6B5C">
        <w:rPr>
          <w:rFonts w:ascii="Calibri" w:hAnsi="Calibri" w:cs="Arial"/>
          <w:b/>
          <w:kern w:val="2"/>
          <w:sz w:val="24"/>
          <w:szCs w:val="24"/>
        </w:rPr>
        <w:tab/>
      </w:r>
      <w:r>
        <w:rPr>
          <w:rFonts w:ascii="Calibri" w:hAnsi="Calibri" w:cs="Arial"/>
          <w:b/>
          <w:kern w:val="2"/>
          <w:sz w:val="24"/>
          <w:szCs w:val="24"/>
        </w:rPr>
        <w:t xml:space="preserve">                                              </w:t>
      </w:r>
      <w:r w:rsidR="00D8790B">
        <w:rPr>
          <w:rFonts w:ascii="Calibri" w:hAnsi="Calibri" w:cs="Arial"/>
          <w:b/>
          <w:kern w:val="2"/>
          <w:sz w:val="24"/>
          <w:szCs w:val="24"/>
        </w:rPr>
        <w:tab/>
        <w:t xml:space="preserve"> </w:t>
      </w:r>
      <w:r w:rsidR="00D8790B">
        <w:rPr>
          <w:rFonts w:ascii="Calibri" w:hAnsi="Calibri" w:cs="Arial"/>
          <w:kern w:val="2"/>
          <w:sz w:val="24"/>
          <w:szCs w:val="24"/>
        </w:rPr>
        <w:t xml:space="preserve"> The Maurice Wilkes Building </w:t>
      </w:r>
    </w:p>
    <w:p w14:paraId="7F618AAE" w14:textId="095C2276" w:rsidR="00D8790B" w:rsidRDefault="00D8790B" w:rsidP="00E315C1">
      <w:pPr>
        <w:spacing w:after="0" w:line="240" w:lineRule="auto"/>
        <w:ind w:left="2552" w:hanging="2552"/>
        <w:rPr>
          <w:rFonts w:ascii="Calibri" w:hAnsi="Calibri" w:cs="Arial"/>
          <w:kern w:val="2"/>
          <w:sz w:val="24"/>
          <w:szCs w:val="24"/>
        </w:rPr>
      </w:pPr>
      <w:r>
        <w:rPr>
          <w:rFonts w:ascii="Calibri" w:hAnsi="Calibri" w:cs="Arial"/>
          <w:kern w:val="2"/>
          <w:sz w:val="24"/>
          <w:szCs w:val="24"/>
        </w:rPr>
        <w:tab/>
      </w:r>
      <w:r>
        <w:rPr>
          <w:rFonts w:ascii="Calibri" w:hAnsi="Calibri" w:cs="Arial"/>
          <w:kern w:val="2"/>
          <w:sz w:val="24"/>
          <w:szCs w:val="24"/>
        </w:rPr>
        <w:tab/>
        <w:t xml:space="preserve"> St. John’s Innovation Park</w:t>
      </w:r>
    </w:p>
    <w:p w14:paraId="2EA2AF28" w14:textId="091E17EA" w:rsidR="00D8790B" w:rsidRDefault="00D8790B" w:rsidP="00E315C1">
      <w:pPr>
        <w:spacing w:after="0" w:line="240" w:lineRule="auto"/>
        <w:ind w:left="2552" w:hanging="2552"/>
        <w:rPr>
          <w:rFonts w:ascii="Calibri" w:hAnsi="Calibri" w:cs="Arial"/>
          <w:kern w:val="2"/>
          <w:sz w:val="24"/>
          <w:szCs w:val="24"/>
        </w:rPr>
      </w:pPr>
      <w:r>
        <w:rPr>
          <w:rFonts w:ascii="Calibri" w:hAnsi="Calibri" w:cs="Arial"/>
          <w:kern w:val="2"/>
          <w:sz w:val="24"/>
          <w:szCs w:val="24"/>
        </w:rPr>
        <w:tab/>
      </w:r>
      <w:r w:rsidR="007A68E9">
        <w:rPr>
          <w:rFonts w:ascii="Calibri" w:hAnsi="Calibri" w:cs="Arial"/>
          <w:kern w:val="2"/>
          <w:sz w:val="24"/>
          <w:szCs w:val="24"/>
        </w:rPr>
        <w:t xml:space="preserve"> </w:t>
      </w:r>
      <w:proofErr w:type="spellStart"/>
      <w:r>
        <w:rPr>
          <w:rFonts w:ascii="Calibri" w:hAnsi="Calibri" w:cs="Arial"/>
          <w:kern w:val="2"/>
          <w:sz w:val="24"/>
          <w:szCs w:val="24"/>
        </w:rPr>
        <w:t>Cowley</w:t>
      </w:r>
      <w:proofErr w:type="spellEnd"/>
      <w:r>
        <w:rPr>
          <w:rFonts w:ascii="Calibri" w:hAnsi="Calibri" w:cs="Arial"/>
          <w:kern w:val="2"/>
          <w:sz w:val="24"/>
          <w:szCs w:val="24"/>
        </w:rPr>
        <w:t xml:space="preserve"> Road</w:t>
      </w:r>
    </w:p>
    <w:p w14:paraId="190876AF" w14:textId="62882CBE" w:rsidR="00D8790B" w:rsidRDefault="00D8790B" w:rsidP="00E315C1">
      <w:pPr>
        <w:spacing w:after="0" w:line="240" w:lineRule="auto"/>
        <w:ind w:left="2552" w:hanging="2552"/>
        <w:rPr>
          <w:rFonts w:ascii="Calibri" w:hAnsi="Calibri" w:cs="Arial"/>
          <w:kern w:val="2"/>
          <w:sz w:val="24"/>
          <w:szCs w:val="24"/>
        </w:rPr>
      </w:pPr>
      <w:r>
        <w:rPr>
          <w:rFonts w:ascii="Calibri" w:hAnsi="Calibri" w:cs="Arial"/>
          <w:kern w:val="2"/>
          <w:sz w:val="24"/>
          <w:szCs w:val="24"/>
        </w:rPr>
        <w:tab/>
      </w:r>
      <w:r w:rsidR="007A68E9">
        <w:rPr>
          <w:rFonts w:ascii="Calibri" w:hAnsi="Calibri" w:cs="Arial"/>
          <w:kern w:val="2"/>
          <w:sz w:val="24"/>
          <w:szCs w:val="24"/>
        </w:rPr>
        <w:t xml:space="preserve"> </w:t>
      </w:r>
      <w:r>
        <w:rPr>
          <w:rFonts w:ascii="Calibri" w:hAnsi="Calibri" w:cs="Arial"/>
          <w:kern w:val="2"/>
          <w:sz w:val="24"/>
          <w:szCs w:val="24"/>
        </w:rPr>
        <w:tab/>
        <w:t>Cambridge</w:t>
      </w:r>
    </w:p>
    <w:p w14:paraId="699886FC" w14:textId="1D2972D5" w:rsidR="00D8790B" w:rsidRDefault="00D8790B" w:rsidP="00E315C1">
      <w:pPr>
        <w:spacing w:after="0" w:line="240" w:lineRule="auto"/>
        <w:ind w:left="2552" w:hanging="2552"/>
        <w:rPr>
          <w:rFonts w:ascii="Calibri" w:hAnsi="Calibri" w:cs="Arial"/>
          <w:kern w:val="2"/>
          <w:sz w:val="24"/>
          <w:szCs w:val="24"/>
        </w:rPr>
      </w:pPr>
      <w:r>
        <w:rPr>
          <w:rFonts w:ascii="Calibri" w:hAnsi="Calibri" w:cs="Arial"/>
          <w:kern w:val="2"/>
          <w:sz w:val="24"/>
          <w:szCs w:val="24"/>
        </w:rPr>
        <w:tab/>
      </w:r>
      <w:r w:rsidR="007A68E9">
        <w:rPr>
          <w:rFonts w:ascii="Calibri" w:hAnsi="Calibri" w:cs="Arial"/>
          <w:kern w:val="2"/>
          <w:sz w:val="24"/>
          <w:szCs w:val="24"/>
        </w:rPr>
        <w:t xml:space="preserve"> </w:t>
      </w:r>
      <w:r>
        <w:rPr>
          <w:rFonts w:ascii="Calibri" w:hAnsi="Calibri" w:cs="Arial"/>
          <w:kern w:val="2"/>
          <w:sz w:val="24"/>
          <w:szCs w:val="24"/>
        </w:rPr>
        <w:t>CB4 0DS</w:t>
      </w:r>
    </w:p>
    <w:p w14:paraId="186095BF" w14:textId="3855AA4A" w:rsidR="001602C0" w:rsidRPr="00AD6B5C" w:rsidRDefault="00D8790B" w:rsidP="00E21CE0">
      <w:pPr>
        <w:spacing w:after="0" w:line="240" w:lineRule="auto"/>
        <w:rPr>
          <w:rFonts w:ascii="Calibri" w:hAnsi="Calibri" w:cs="Arial"/>
          <w:color w:val="7030A0"/>
          <w:kern w:val="2"/>
          <w:sz w:val="24"/>
          <w:szCs w:val="24"/>
        </w:rPr>
      </w:pP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p>
    <w:p w14:paraId="4C5D8B17" w14:textId="77777777" w:rsidR="001602C0" w:rsidRPr="00AD6B5C" w:rsidRDefault="001602C0" w:rsidP="001602C0">
      <w:pPr>
        <w:spacing w:after="0" w:line="240" w:lineRule="auto"/>
        <w:rPr>
          <w:rFonts w:ascii="Calibri" w:hAnsi="Calibri" w:cs="Arial"/>
          <w:kern w:val="2"/>
          <w:sz w:val="24"/>
          <w:szCs w:val="24"/>
        </w:rPr>
      </w:pP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p>
    <w:p w14:paraId="3BADCEDE" w14:textId="77777777" w:rsidR="001602C0" w:rsidRPr="00AD6B5C" w:rsidRDefault="001602C0" w:rsidP="001602C0">
      <w:pPr>
        <w:spacing w:after="0" w:line="240" w:lineRule="auto"/>
        <w:rPr>
          <w:rFonts w:ascii="Calibri" w:hAnsi="Calibri" w:cs="Arial"/>
          <w:kern w:val="2"/>
          <w:sz w:val="24"/>
          <w:szCs w:val="24"/>
        </w:rPr>
      </w:pP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r w:rsidRPr="00AD6B5C">
        <w:rPr>
          <w:rFonts w:ascii="Calibri" w:hAnsi="Calibri" w:cs="Arial"/>
          <w:kern w:val="2"/>
          <w:sz w:val="24"/>
          <w:szCs w:val="24"/>
        </w:rPr>
        <w:tab/>
      </w:r>
    </w:p>
    <w:p w14:paraId="301545C7" w14:textId="77777777" w:rsidR="001602C0" w:rsidRDefault="001602C0" w:rsidP="001602C0">
      <w:pPr>
        <w:spacing w:after="0" w:line="240" w:lineRule="auto"/>
        <w:rPr>
          <w:rFonts w:asciiTheme="minorHAnsi" w:hAnsiTheme="minorHAnsi" w:cs="Arial"/>
          <w:b/>
          <w:color w:val="442359"/>
          <w:sz w:val="28"/>
          <w:szCs w:val="28"/>
          <w:u w:val="single"/>
          <w:lang w:val="en-US"/>
        </w:rPr>
      </w:pPr>
      <w:r>
        <w:rPr>
          <w:rFonts w:asciiTheme="minorHAnsi" w:hAnsiTheme="minorHAnsi" w:cs="Arial"/>
          <w:color w:val="442359"/>
          <w:sz w:val="28"/>
          <w:szCs w:val="28"/>
          <w:u w:val="single"/>
          <w:lang w:val="en-US"/>
        </w:rPr>
        <w:br w:type="page"/>
      </w:r>
    </w:p>
    <w:p w14:paraId="3B229D83" w14:textId="050C1DC5" w:rsidR="001602C0" w:rsidRPr="00C15E3E" w:rsidRDefault="00C15E3E" w:rsidP="009B4F48">
      <w:pPr>
        <w:pStyle w:val="Heading1"/>
        <w:spacing w:before="360" w:after="240"/>
        <w:rPr>
          <w:rFonts w:asciiTheme="minorHAnsi" w:hAnsiTheme="minorHAnsi" w:cs="Arial"/>
          <w:b w:val="0"/>
          <w:bCs/>
          <w:color w:val="442359"/>
          <w:sz w:val="28"/>
          <w:szCs w:val="28"/>
          <w:u w:val="single"/>
        </w:rPr>
      </w:pPr>
      <w:r w:rsidRPr="00C15E3E">
        <w:lastRenderedPageBreak/>
        <w:br/>
      </w:r>
      <w:r w:rsidR="009B4F48" w:rsidRPr="009B4F48">
        <w:rPr>
          <w:rFonts w:asciiTheme="minorHAnsi" w:hAnsiTheme="minorHAnsi" w:cs="Arial"/>
          <w:bCs/>
          <w:color w:val="442359"/>
          <w:sz w:val="28"/>
          <w:szCs w:val="28"/>
        </w:rPr>
        <w:t xml:space="preserve">Annual Report                                                                                                            </w:t>
      </w:r>
      <w:r w:rsidR="009B4F48">
        <w:rPr>
          <w:rFonts w:asciiTheme="minorHAnsi" w:hAnsiTheme="minorHAnsi" w:cs="Arial"/>
          <w:bCs/>
          <w:color w:val="442359"/>
          <w:sz w:val="28"/>
          <w:szCs w:val="28"/>
        </w:rPr>
        <w:t xml:space="preserve">      </w:t>
      </w:r>
      <w:r w:rsidR="001602C0" w:rsidRPr="00C15E3E">
        <w:rPr>
          <w:rFonts w:asciiTheme="minorHAnsi" w:hAnsiTheme="minorHAnsi" w:cs="Arial"/>
          <w:bCs/>
          <w:color w:val="442359"/>
          <w:sz w:val="28"/>
          <w:szCs w:val="28"/>
          <w:u w:val="single"/>
        </w:rPr>
        <w:t xml:space="preserve">Objectives and activities </w:t>
      </w:r>
    </w:p>
    <w:p w14:paraId="3A018999" w14:textId="75470810" w:rsidR="001602C0" w:rsidRDefault="001602C0" w:rsidP="001602C0">
      <w:pPr>
        <w:spacing w:after="180" w:line="240" w:lineRule="atLeast"/>
        <w:rPr>
          <w:rFonts w:asciiTheme="minorHAnsi" w:hAnsiTheme="minorHAnsi" w:cs="Arial"/>
          <w:sz w:val="24"/>
          <w:szCs w:val="24"/>
        </w:rPr>
      </w:pPr>
      <w:r w:rsidRPr="00976555">
        <w:rPr>
          <w:rFonts w:asciiTheme="minorHAnsi" w:hAnsiTheme="minorHAnsi" w:cs="Arial"/>
          <w:sz w:val="24"/>
          <w:szCs w:val="24"/>
        </w:rPr>
        <w:t>The Thalidomide Trust (</w:t>
      </w:r>
      <w:r w:rsidR="00C3265D">
        <w:rPr>
          <w:rFonts w:asciiTheme="minorHAnsi" w:hAnsiTheme="minorHAnsi" w:cs="Arial"/>
          <w:sz w:val="24"/>
          <w:szCs w:val="24"/>
        </w:rPr>
        <w:t>“</w:t>
      </w:r>
      <w:r w:rsidRPr="00976555">
        <w:rPr>
          <w:rFonts w:asciiTheme="minorHAnsi" w:hAnsiTheme="minorHAnsi" w:cs="Arial"/>
          <w:sz w:val="24"/>
          <w:szCs w:val="24"/>
        </w:rPr>
        <w:t xml:space="preserve">the Trust”) </w:t>
      </w:r>
      <w:r>
        <w:rPr>
          <w:rFonts w:asciiTheme="minorHAnsi" w:hAnsiTheme="minorHAnsi" w:cs="Arial"/>
          <w:sz w:val="24"/>
          <w:szCs w:val="24"/>
        </w:rPr>
        <w:t xml:space="preserve">exists to provide </w:t>
      </w:r>
      <w:r w:rsidRPr="00976555">
        <w:rPr>
          <w:rFonts w:asciiTheme="minorHAnsi" w:hAnsiTheme="minorHAnsi" w:cs="Arial"/>
          <w:sz w:val="24"/>
          <w:szCs w:val="24"/>
        </w:rPr>
        <w:t xml:space="preserve">relief and assistance to </w:t>
      </w:r>
      <w:r>
        <w:rPr>
          <w:rFonts w:asciiTheme="minorHAnsi" w:hAnsiTheme="minorHAnsi" w:cs="Arial"/>
          <w:sz w:val="24"/>
          <w:szCs w:val="24"/>
        </w:rPr>
        <w:t xml:space="preserve">individuals with </w:t>
      </w:r>
      <w:r w:rsidRPr="00976555">
        <w:rPr>
          <w:rFonts w:asciiTheme="minorHAnsi" w:hAnsiTheme="minorHAnsi" w:cs="Arial"/>
          <w:sz w:val="24"/>
          <w:szCs w:val="24"/>
        </w:rPr>
        <w:t>disabilities caused by their mothers</w:t>
      </w:r>
      <w:r>
        <w:rPr>
          <w:rFonts w:asciiTheme="minorHAnsi" w:hAnsiTheme="minorHAnsi" w:cs="Arial"/>
          <w:sz w:val="24"/>
          <w:szCs w:val="24"/>
        </w:rPr>
        <w:t xml:space="preserve"> </w:t>
      </w:r>
      <w:r w:rsidRPr="00976555">
        <w:rPr>
          <w:rFonts w:asciiTheme="minorHAnsi" w:hAnsiTheme="minorHAnsi" w:cs="Arial"/>
          <w:sz w:val="24"/>
          <w:szCs w:val="24"/>
        </w:rPr>
        <w:t>tak</w:t>
      </w:r>
      <w:r>
        <w:rPr>
          <w:rFonts w:asciiTheme="minorHAnsi" w:hAnsiTheme="minorHAnsi" w:cs="Arial"/>
          <w:sz w:val="24"/>
          <w:szCs w:val="24"/>
        </w:rPr>
        <w:t xml:space="preserve">ing, during pregnancy, </w:t>
      </w:r>
      <w:r w:rsidRPr="00976555">
        <w:rPr>
          <w:rFonts w:asciiTheme="minorHAnsi" w:hAnsiTheme="minorHAnsi" w:cs="Arial"/>
          <w:sz w:val="24"/>
          <w:szCs w:val="24"/>
        </w:rPr>
        <w:t xml:space="preserve">a preparation </w:t>
      </w:r>
      <w:r>
        <w:rPr>
          <w:rFonts w:asciiTheme="minorHAnsi" w:hAnsiTheme="minorHAnsi" w:cs="Arial"/>
          <w:sz w:val="24"/>
          <w:szCs w:val="24"/>
        </w:rPr>
        <w:t>distributed</w:t>
      </w:r>
      <w:r w:rsidRPr="00976555">
        <w:rPr>
          <w:rFonts w:asciiTheme="minorHAnsi" w:hAnsiTheme="minorHAnsi" w:cs="Arial"/>
          <w:sz w:val="24"/>
          <w:szCs w:val="24"/>
        </w:rPr>
        <w:t xml:space="preserve"> by The Distillers Company </w:t>
      </w:r>
      <w:r>
        <w:rPr>
          <w:rFonts w:asciiTheme="minorHAnsi" w:hAnsiTheme="minorHAnsi" w:cs="Arial"/>
          <w:sz w:val="24"/>
          <w:szCs w:val="24"/>
        </w:rPr>
        <w:t>(</w:t>
      </w:r>
      <w:proofErr w:type="spellStart"/>
      <w:r w:rsidRPr="00976555">
        <w:rPr>
          <w:rFonts w:asciiTheme="minorHAnsi" w:hAnsiTheme="minorHAnsi" w:cs="Arial"/>
          <w:sz w:val="24"/>
          <w:szCs w:val="24"/>
        </w:rPr>
        <w:t>Biochemicals</w:t>
      </w:r>
      <w:proofErr w:type="spellEnd"/>
      <w:r>
        <w:rPr>
          <w:rFonts w:asciiTheme="minorHAnsi" w:hAnsiTheme="minorHAnsi" w:cs="Arial"/>
          <w:sz w:val="24"/>
          <w:szCs w:val="24"/>
        </w:rPr>
        <w:t>)</w:t>
      </w:r>
      <w:r w:rsidRPr="00976555">
        <w:rPr>
          <w:rFonts w:asciiTheme="minorHAnsi" w:hAnsiTheme="minorHAnsi" w:cs="Arial"/>
          <w:sz w:val="24"/>
          <w:szCs w:val="24"/>
        </w:rPr>
        <w:t xml:space="preserve"> Limited in the United Kingdo</w:t>
      </w:r>
      <w:r>
        <w:rPr>
          <w:rFonts w:asciiTheme="minorHAnsi" w:hAnsiTheme="minorHAnsi" w:cs="Arial"/>
          <w:sz w:val="24"/>
          <w:szCs w:val="24"/>
        </w:rPr>
        <w:t xml:space="preserve">m </w:t>
      </w:r>
      <w:r w:rsidRPr="00976555">
        <w:rPr>
          <w:rFonts w:asciiTheme="minorHAnsi" w:hAnsiTheme="minorHAnsi" w:cs="Arial"/>
          <w:sz w:val="24"/>
          <w:szCs w:val="24"/>
        </w:rPr>
        <w:t>containing the drug known as Thalidomide</w:t>
      </w:r>
      <w:r>
        <w:rPr>
          <w:rFonts w:asciiTheme="minorHAnsi" w:hAnsiTheme="minorHAnsi" w:cs="Arial"/>
          <w:sz w:val="24"/>
          <w:szCs w:val="24"/>
        </w:rPr>
        <w:t xml:space="preserve"> in the late 1950s and early 1960s</w:t>
      </w:r>
      <w:r w:rsidRPr="00976555">
        <w:rPr>
          <w:rFonts w:asciiTheme="minorHAnsi" w:hAnsiTheme="minorHAnsi" w:cs="Arial"/>
          <w:sz w:val="24"/>
          <w:szCs w:val="24"/>
        </w:rPr>
        <w:t>.</w:t>
      </w:r>
    </w:p>
    <w:p w14:paraId="680898B5" w14:textId="77777777" w:rsidR="001602C0" w:rsidRPr="00C15E3E" w:rsidRDefault="001602C0" w:rsidP="00C15E3E">
      <w:pPr>
        <w:spacing w:before="180" w:after="120" w:line="240" w:lineRule="atLeast"/>
        <w:rPr>
          <w:rFonts w:asciiTheme="minorHAnsi" w:hAnsiTheme="minorHAnsi" w:cs="Arial"/>
          <w:b/>
          <w:color w:val="442359"/>
          <w:sz w:val="26"/>
          <w:szCs w:val="26"/>
          <w:lang w:val="en-US"/>
        </w:rPr>
      </w:pPr>
      <w:r w:rsidRPr="00C15E3E">
        <w:rPr>
          <w:rFonts w:asciiTheme="minorHAnsi" w:hAnsiTheme="minorHAnsi" w:cs="Arial"/>
          <w:b/>
          <w:color w:val="442359"/>
          <w:sz w:val="26"/>
          <w:szCs w:val="26"/>
          <w:lang w:val="en-US"/>
        </w:rPr>
        <w:t>Our aims</w:t>
      </w:r>
    </w:p>
    <w:p w14:paraId="2CD747B3" w14:textId="77777777" w:rsidR="001602C0" w:rsidRDefault="001602C0" w:rsidP="001602C0">
      <w:pPr>
        <w:spacing w:after="180" w:line="240" w:lineRule="atLeast"/>
        <w:rPr>
          <w:rFonts w:asciiTheme="minorHAnsi" w:hAnsiTheme="minorHAnsi" w:cs="Arial"/>
          <w:sz w:val="24"/>
          <w:szCs w:val="24"/>
        </w:rPr>
      </w:pPr>
      <w:r>
        <w:rPr>
          <w:rFonts w:asciiTheme="minorHAnsi" w:hAnsiTheme="minorHAnsi" w:cs="Arial"/>
          <w:sz w:val="24"/>
          <w:szCs w:val="24"/>
        </w:rPr>
        <w:t>All our beneficiaries are now in their mid to late 50s and, as they age, are experiencing multiple health problems which seriously impact on their quality of life and their ability to remain fully independent.</w:t>
      </w:r>
    </w:p>
    <w:p w14:paraId="59E65FBD" w14:textId="77777777" w:rsidR="001602C0" w:rsidRDefault="001602C0" w:rsidP="001602C0">
      <w:pPr>
        <w:spacing w:after="180" w:line="240" w:lineRule="atLeast"/>
        <w:rPr>
          <w:rFonts w:asciiTheme="minorHAnsi" w:hAnsiTheme="minorHAnsi" w:cs="Arial"/>
          <w:sz w:val="24"/>
          <w:szCs w:val="24"/>
        </w:rPr>
      </w:pPr>
      <w:r>
        <w:rPr>
          <w:rFonts w:asciiTheme="minorHAnsi" w:hAnsiTheme="minorHAnsi" w:cs="Arial"/>
          <w:sz w:val="24"/>
          <w:szCs w:val="24"/>
        </w:rPr>
        <w:t>The Trust meets their increasing needs through the provision of financial support – in the form of annual grant payments – and a range of information, advice and advocacy services. To underpin this, we gather evidence on the needs and experience of our beneficiaries and undertake more detailed research on topics that are of greatest relevance to them.</w:t>
      </w:r>
    </w:p>
    <w:p w14:paraId="75F3BAF6" w14:textId="77777777" w:rsidR="001602C0" w:rsidRDefault="001602C0" w:rsidP="001602C0">
      <w:pPr>
        <w:spacing w:after="180" w:line="240" w:lineRule="atLeast"/>
        <w:rPr>
          <w:rFonts w:asciiTheme="minorHAnsi" w:hAnsiTheme="minorHAnsi" w:cs="Arial"/>
          <w:sz w:val="24"/>
          <w:szCs w:val="24"/>
        </w:rPr>
      </w:pPr>
      <w:r>
        <w:rPr>
          <w:rFonts w:asciiTheme="minorHAnsi" w:hAnsiTheme="minorHAnsi" w:cs="Arial"/>
          <w:sz w:val="24"/>
          <w:szCs w:val="24"/>
        </w:rPr>
        <w:t>The Trust has a Vision and five Strategic Goals which were jointly developed by the trustees, staff and National Advisory Council (NAC):</w:t>
      </w:r>
    </w:p>
    <w:tbl>
      <w:tblPr>
        <w:tblStyle w:val="TableGrid"/>
        <w:tblW w:w="0" w:type="auto"/>
        <w:tblLook w:val="04A0" w:firstRow="1" w:lastRow="0" w:firstColumn="1" w:lastColumn="0" w:noHBand="0" w:noVBand="1"/>
      </w:tblPr>
      <w:tblGrid>
        <w:gridCol w:w="8919"/>
      </w:tblGrid>
      <w:tr w:rsidR="001602C0" w14:paraId="467A3B4C" w14:textId="77777777" w:rsidTr="00BC5EE4">
        <w:trPr>
          <w:trHeight w:val="5690"/>
        </w:trPr>
        <w:tc>
          <w:tcPr>
            <w:tcW w:w="8919" w:type="dxa"/>
          </w:tcPr>
          <w:p w14:paraId="22585F63" w14:textId="77777777" w:rsidR="001602C0" w:rsidRPr="002719EE" w:rsidRDefault="001602C0" w:rsidP="00BC5EE4">
            <w:pPr>
              <w:spacing w:line="240" w:lineRule="auto"/>
              <w:rPr>
                <w:rFonts w:asciiTheme="minorHAnsi" w:hAnsiTheme="minorHAnsi"/>
                <w:b/>
                <w:sz w:val="24"/>
                <w:szCs w:val="24"/>
              </w:rPr>
            </w:pPr>
            <w:r w:rsidRPr="002719EE">
              <w:rPr>
                <w:rFonts w:asciiTheme="minorHAnsi" w:hAnsiTheme="minorHAnsi"/>
                <w:b/>
                <w:sz w:val="24"/>
                <w:szCs w:val="24"/>
              </w:rPr>
              <w:t xml:space="preserve">Our Vision is that …. </w:t>
            </w:r>
            <w:r w:rsidRPr="002719EE">
              <w:rPr>
                <w:rFonts w:asciiTheme="minorHAnsi" w:hAnsiTheme="minorHAnsi"/>
                <w:b/>
                <w:sz w:val="24"/>
                <w:szCs w:val="24"/>
                <w:u w:val="single"/>
              </w:rPr>
              <w:t>all</w:t>
            </w:r>
            <w:r w:rsidRPr="002719EE">
              <w:rPr>
                <w:rFonts w:asciiTheme="minorHAnsi" w:hAnsiTheme="minorHAnsi"/>
                <w:b/>
                <w:sz w:val="24"/>
                <w:szCs w:val="24"/>
              </w:rPr>
              <w:t xml:space="preserve"> beneficiaries of the Trust have access to the resources and support they need to optimise their quality of life throughout their lifetime.</w:t>
            </w:r>
          </w:p>
          <w:p w14:paraId="335021B9" w14:textId="77777777" w:rsidR="001602C0" w:rsidRPr="002719EE" w:rsidRDefault="001602C0" w:rsidP="00BC5EE4">
            <w:pPr>
              <w:spacing w:after="180"/>
              <w:rPr>
                <w:rFonts w:asciiTheme="minorHAnsi" w:hAnsiTheme="minorHAnsi"/>
                <w:b/>
                <w:i/>
                <w:sz w:val="24"/>
                <w:szCs w:val="24"/>
              </w:rPr>
            </w:pPr>
            <w:r w:rsidRPr="002719EE">
              <w:rPr>
                <w:rFonts w:asciiTheme="minorHAnsi" w:hAnsiTheme="minorHAnsi"/>
                <w:b/>
                <w:sz w:val="24"/>
                <w:szCs w:val="24"/>
              </w:rPr>
              <w:t>Our five strategic goals are…….</w:t>
            </w:r>
          </w:p>
          <w:p w14:paraId="242A77FF" w14:textId="77777777" w:rsidR="001602C0" w:rsidRPr="002719EE" w:rsidRDefault="001602C0" w:rsidP="00BC5EE4">
            <w:pPr>
              <w:spacing w:after="180" w:line="240" w:lineRule="auto"/>
              <w:ind w:left="1162" w:hanging="1134"/>
              <w:rPr>
                <w:rFonts w:asciiTheme="minorHAnsi" w:hAnsiTheme="minorHAnsi"/>
                <w:sz w:val="24"/>
                <w:szCs w:val="24"/>
              </w:rPr>
            </w:pPr>
            <w:r w:rsidRPr="002719EE">
              <w:rPr>
                <w:rFonts w:asciiTheme="minorHAnsi" w:hAnsiTheme="minorHAnsi"/>
                <w:b/>
                <w:sz w:val="24"/>
                <w:szCs w:val="24"/>
              </w:rPr>
              <w:t>GOAL 1:</w:t>
            </w:r>
            <w:r>
              <w:rPr>
                <w:rFonts w:asciiTheme="minorHAnsi" w:hAnsiTheme="minorHAnsi"/>
                <w:sz w:val="24"/>
                <w:szCs w:val="24"/>
              </w:rPr>
              <w:tab/>
            </w:r>
            <w:r w:rsidRPr="002719EE">
              <w:rPr>
                <w:rFonts w:asciiTheme="minorHAnsi" w:hAnsiTheme="minorHAnsi"/>
                <w:sz w:val="24"/>
                <w:szCs w:val="24"/>
              </w:rPr>
              <w:t>To ensure a beneficiary-centred approach in all Trust activities - with an emphasis on equity, empowerment and support.</w:t>
            </w:r>
          </w:p>
          <w:p w14:paraId="0C4A378C" w14:textId="77777777" w:rsidR="001602C0" w:rsidRPr="002719EE" w:rsidRDefault="001602C0" w:rsidP="00BC5EE4">
            <w:pPr>
              <w:spacing w:after="180" w:line="240" w:lineRule="auto"/>
              <w:ind w:left="1162" w:hanging="1134"/>
              <w:rPr>
                <w:rFonts w:asciiTheme="minorHAnsi" w:hAnsiTheme="minorHAnsi"/>
                <w:sz w:val="24"/>
                <w:szCs w:val="24"/>
              </w:rPr>
            </w:pPr>
            <w:r w:rsidRPr="002719EE">
              <w:rPr>
                <w:rFonts w:asciiTheme="minorHAnsi" w:hAnsiTheme="minorHAnsi"/>
                <w:b/>
                <w:sz w:val="24"/>
                <w:szCs w:val="24"/>
              </w:rPr>
              <w:t>GOAL 2:</w:t>
            </w:r>
            <w:r>
              <w:rPr>
                <w:rFonts w:asciiTheme="minorHAnsi" w:hAnsiTheme="minorHAnsi"/>
                <w:sz w:val="24"/>
                <w:szCs w:val="24"/>
              </w:rPr>
              <w:tab/>
            </w:r>
            <w:r w:rsidRPr="002719EE">
              <w:rPr>
                <w:rFonts w:asciiTheme="minorHAnsi" w:hAnsiTheme="minorHAnsi"/>
                <w:sz w:val="24"/>
                <w:szCs w:val="24"/>
              </w:rPr>
              <w:t>To ensure sustainability and security of income for the Trust and manage financial risk in order to effectively meet the needs of existing and new beneficiaries for the whole of their lives.</w:t>
            </w:r>
          </w:p>
          <w:p w14:paraId="1641BB65" w14:textId="77777777" w:rsidR="001602C0" w:rsidRPr="002719EE" w:rsidRDefault="001602C0" w:rsidP="00BC5EE4">
            <w:pPr>
              <w:spacing w:after="180" w:line="240" w:lineRule="auto"/>
              <w:ind w:left="1162" w:hanging="1134"/>
              <w:rPr>
                <w:rFonts w:asciiTheme="minorHAnsi" w:hAnsiTheme="minorHAnsi"/>
                <w:sz w:val="24"/>
                <w:szCs w:val="24"/>
              </w:rPr>
            </w:pPr>
            <w:r w:rsidRPr="002719EE">
              <w:rPr>
                <w:rFonts w:asciiTheme="minorHAnsi" w:hAnsiTheme="minorHAnsi"/>
                <w:b/>
                <w:sz w:val="24"/>
                <w:szCs w:val="24"/>
              </w:rPr>
              <w:t>GOAL 3:</w:t>
            </w:r>
            <w:r w:rsidRPr="002719EE">
              <w:rPr>
                <w:rFonts w:asciiTheme="minorHAnsi" w:hAnsiTheme="minorHAnsi"/>
                <w:sz w:val="24"/>
                <w:szCs w:val="24"/>
              </w:rPr>
              <w:t xml:space="preserve"> </w:t>
            </w:r>
            <w:r w:rsidRPr="002719EE">
              <w:rPr>
                <w:rFonts w:asciiTheme="minorHAnsi" w:hAnsiTheme="minorHAnsi"/>
                <w:sz w:val="24"/>
                <w:szCs w:val="24"/>
              </w:rPr>
              <w:tab/>
              <w:t>To apply the Trust’s resources effectively and equitably.</w:t>
            </w:r>
          </w:p>
          <w:p w14:paraId="72BEDABE" w14:textId="77777777" w:rsidR="001602C0" w:rsidRPr="002719EE" w:rsidRDefault="001602C0" w:rsidP="00BC5EE4">
            <w:pPr>
              <w:spacing w:after="180" w:line="240" w:lineRule="auto"/>
              <w:ind w:left="1162" w:hanging="1134"/>
              <w:rPr>
                <w:rFonts w:asciiTheme="minorHAnsi" w:hAnsiTheme="minorHAnsi"/>
                <w:sz w:val="24"/>
                <w:szCs w:val="24"/>
              </w:rPr>
            </w:pPr>
            <w:r w:rsidRPr="002719EE">
              <w:rPr>
                <w:rFonts w:asciiTheme="minorHAnsi" w:hAnsiTheme="minorHAnsi"/>
                <w:b/>
                <w:sz w:val="24"/>
                <w:szCs w:val="24"/>
              </w:rPr>
              <w:t>GOAL 4:</w:t>
            </w:r>
            <w:r>
              <w:rPr>
                <w:rFonts w:asciiTheme="minorHAnsi" w:hAnsiTheme="minorHAnsi"/>
                <w:sz w:val="24"/>
                <w:szCs w:val="24"/>
              </w:rPr>
              <w:tab/>
            </w:r>
            <w:r w:rsidRPr="002719EE">
              <w:rPr>
                <w:rFonts w:asciiTheme="minorHAnsi" w:hAnsiTheme="minorHAnsi"/>
                <w:sz w:val="24"/>
                <w:szCs w:val="24"/>
              </w:rPr>
              <w:t>To ensure that all beneficiaries have access to the best possible information, advice, services and support – both within and outside the Trust – as they age.</w:t>
            </w:r>
          </w:p>
          <w:p w14:paraId="1EDAAF0D" w14:textId="77777777" w:rsidR="001602C0" w:rsidRPr="00E37598" w:rsidRDefault="001602C0" w:rsidP="00BC5EE4">
            <w:pPr>
              <w:spacing w:after="120" w:line="240" w:lineRule="auto"/>
              <w:ind w:left="1134" w:hanging="1134"/>
              <w:rPr>
                <w:rFonts w:asciiTheme="minorHAnsi" w:hAnsiTheme="minorHAnsi"/>
                <w:sz w:val="24"/>
                <w:szCs w:val="24"/>
              </w:rPr>
            </w:pPr>
            <w:r w:rsidRPr="002719EE">
              <w:rPr>
                <w:rFonts w:asciiTheme="minorHAnsi" w:hAnsiTheme="minorHAnsi"/>
                <w:b/>
                <w:sz w:val="24"/>
                <w:szCs w:val="24"/>
              </w:rPr>
              <w:t>GOAL 5:</w:t>
            </w:r>
            <w:r>
              <w:rPr>
                <w:rFonts w:asciiTheme="minorHAnsi" w:hAnsiTheme="minorHAnsi"/>
                <w:sz w:val="24"/>
                <w:szCs w:val="24"/>
              </w:rPr>
              <w:tab/>
            </w:r>
            <w:r w:rsidRPr="002719EE">
              <w:rPr>
                <w:rFonts w:asciiTheme="minorHAnsi" w:hAnsiTheme="minorHAnsi"/>
                <w:sz w:val="24"/>
                <w:szCs w:val="24"/>
              </w:rPr>
              <w:t>To inform and educate those decision-makers and service providers who have an impact on the quality of life of beneficiaries</w:t>
            </w:r>
            <w:r>
              <w:rPr>
                <w:rFonts w:asciiTheme="minorHAnsi" w:hAnsiTheme="minorHAnsi"/>
                <w:sz w:val="24"/>
                <w:szCs w:val="24"/>
              </w:rPr>
              <w:t>.</w:t>
            </w:r>
          </w:p>
        </w:tc>
      </w:tr>
    </w:tbl>
    <w:p w14:paraId="5A41A794" w14:textId="77777777" w:rsidR="001602C0" w:rsidRPr="00236281" w:rsidRDefault="001602C0" w:rsidP="001602C0">
      <w:pPr>
        <w:spacing w:before="180" w:after="120" w:line="240" w:lineRule="atLeast"/>
        <w:rPr>
          <w:rFonts w:asciiTheme="minorHAnsi" w:hAnsiTheme="minorHAnsi" w:cs="Arial"/>
          <w:b/>
          <w:color w:val="442359"/>
          <w:sz w:val="26"/>
          <w:szCs w:val="26"/>
          <w:lang w:val="en-US"/>
        </w:rPr>
      </w:pPr>
      <w:r w:rsidRPr="00236281">
        <w:rPr>
          <w:rFonts w:asciiTheme="minorHAnsi" w:hAnsiTheme="minorHAnsi" w:cs="Arial"/>
          <w:b/>
          <w:color w:val="442359"/>
          <w:sz w:val="26"/>
          <w:szCs w:val="26"/>
          <w:lang w:val="en-US"/>
        </w:rPr>
        <w:t>Public Benefit</w:t>
      </w:r>
    </w:p>
    <w:p w14:paraId="23C6B1DB" w14:textId="1BC8D09E" w:rsidR="001602C0" w:rsidRPr="007A68E9" w:rsidRDefault="001602C0" w:rsidP="001602C0">
      <w:pPr>
        <w:spacing w:after="180" w:line="240" w:lineRule="atLeast"/>
        <w:rPr>
          <w:rFonts w:asciiTheme="minorHAnsi" w:hAnsiTheme="minorHAnsi"/>
        </w:rPr>
      </w:pPr>
      <w:r w:rsidRPr="007A68E9">
        <w:rPr>
          <w:rFonts w:asciiTheme="minorHAnsi" w:hAnsiTheme="minorHAnsi" w:cs="Arial"/>
          <w:sz w:val="24"/>
          <w:szCs w:val="24"/>
        </w:rPr>
        <w:t xml:space="preserve">Although the Trust is very much focussed on the needs of a small </w:t>
      </w:r>
      <w:r w:rsidR="00E5778B" w:rsidRPr="007A68E9">
        <w:rPr>
          <w:rFonts w:asciiTheme="minorHAnsi" w:hAnsiTheme="minorHAnsi" w:cs="Arial"/>
          <w:sz w:val="24"/>
          <w:szCs w:val="24"/>
        </w:rPr>
        <w:t xml:space="preserve">community </w:t>
      </w:r>
      <w:r w:rsidRPr="007A68E9">
        <w:rPr>
          <w:rFonts w:asciiTheme="minorHAnsi" w:hAnsiTheme="minorHAnsi" w:cs="Arial"/>
          <w:sz w:val="24"/>
          <w:szCs w:val="24"/>
        </w:rPr>
        <w:t xml:space="preserve">of beneficiaries, we also take steps to deliver a broader public benefit by sharing our research and learning with other Thalidomide organisations and, where relevant, with the broader disability community.  </w:t>
      </w:r>
    </w:p>
    <w:p w14:paraId="18A1F747" w14:textId="549021F9" w:rsidR="001602C0" w:rsidRPr="007A68E9" w:rsidRDefault="001602C0" w:rsidP="00997759">
      <w:pPr>
        <w:pStyle w:val="Default"/>
        <w:spacing w:after="240"/>
        <w:rPr>
          <w:rFonts w:asciiTheme="minorHAnsi" w:hAnsiTheme="minorHAnsi"/>
          <w:color w:val="auto"/>
        </w:rPr>
      </w:pPr>
      <w:r w:rsidRPr="007A68E9">
        <w:rPr>
          <w:rFonts w:asciiTheme="minorHAnsi" w:hAnsiTheme="minorHAnsi"/>
          <w:color w:val="auto"/>
        </w:rPr>
        <w:t xml:space="preserve">The Trust supports an agreed public programme of campaigning activities led by the beneficiary Campaign Team. This is designed to achieve clear agreed outcomes, one of which is increasing public </w:t>
      </w:r>
      <w:r w:rsidR="006E417F" w:rsidRPr="007A68E9">
        <w:rPr>
          <w:rFonts w:asciiTheme="minorHAnsi" w:hAnsiTheme="minorHAnsi"/>
          <w:color w:val="auto"/>
        </w:rPr>
        <w:t xml:space="preserve">understanding </w:t>
      </w:r>
      <w:r w:rsidRPr="007A68E9">
        <w:rPr>
          <w:rFonts w:asciiTheme="minorHAnsi" w:hAnsiTheme="minorHAnsi"/>
          <w:color w:val="auto"/>
        </w:rPr>
        <w:t>of the Thalidomide scandal</w:t>
      </w:r>
      <w:r w:rsidR="006E417F" w:rsidRPr="007A68E9">
        <w:rPr>
          <w:rFonts w:asciiTheme="minorHAnsi" w:hAnsiTheme="minorHAnsi"/>
          <w:color w:val="auto"/>
        </w:rPr>
        <w:t xml:space="preserve"> to help prevent similar failures </w:t>
      </w:r>
      <w:r w:rsidR="00076588" w:rsidRPr="007A68E9">
        <w:rPr>
          <w:rFonts w:asciiTheme="minorHAnsi" w:hAnsiTheme="minorHAnsi"/>
          <w:color w:val="auto"/>
        </w:rPr>
        <w:t>occurring</w:t>
      </w:r>
      <w:r w:rsidR="006E417F" w:rsidRPr="007A68E9">
        <w:rPr>
          <w:rFonts w:asciiTheme="minorHAnsi" w:hAnsiTheme="minorHAnsi"/>
          <w:color w:val="auto"/>
        </w:rPr>
        <w:t xml:space="preserve"> and to highlight</w:t>
      </w:r>
      <w:r w:rsidR="00997759" w:rsidRPr="007A68E9">
        <w:rPr>
          <w:rFonts w:asciiTheme="minorHAnsi" w:hAnsiTheme="minorHAnsi"/>
          <w:color w:val="auto"/>
        </w:rPr>
        <w:t xml:space="preserve"> </w:t>
      </w:r>
      <w:r w:rsidRPr="007A68E9">
        <w:rPr>
          <w:rFonts w:asciiTheme="minorHAnsi" w:hAnsiTheme="minorHAnsi"/>
          <w:color w:val="auto"/>
        </w:rPr>
        <w:t>the</w:t>
      </w:r>
      <w:r w:rsidR="00997759" w:rsidRPr="007A68E9">
        <w:rPr>
          <w:rFonts w:asciiTheme="minorHAnsi" w:hAnsiTheme="minorHAnsi"/>
          <w:color w:val="auto"/>
        </w:rPr>
        <w:t xml:space="preserve"> </w:t>
      </w:r>
      <w:r w:rsidRPr="007A68E9">
        <w:rPr>
          <w:rFonts w:asciiTheme="minorHAnsi" w:hAnsiTheme="minorHAnsi"/>
          <w:color w:val="auto"/>
        </w:rPr>
        <w:t>ongoing needs and challenges affecting the Trust’s beneficiaries.</w:t>
      </w:r>
    </w:p>
    <w:p w14:paraId="2E00128D" w14:textId="77777777" w:rsidR="001602C0" w:rsidRPr="00280D81" w:rsidRDefault="001602C0" w:rsidP="001602C0">
      <w:pPr>
        <w:spacing w:after="120" w:line="240" w:lineRule="atLeast"/>
        <w:rPr>
          <w:rFonts w:asciiTheme="minorHAnsi" w:hAnsiTheme="minorHAnsi" w:cs="Arial"/>
          <w:b/>
          <w:bCs/>
          <w:color w:val="442359"/>
          <w:sz w:val="28"/>
          <w:szCs w:val="28"/>
          <w:u w:val="single"/>
        </w:rPr>
      </w:pPr>
      <w:r w:rsidRPr="00280D81">
        <w:rPr>
          <w:rFonts w:asciiTheme="minorHAnsi" w:hAnsiTheme="minorHAnsi" w:cs="Arial"/>
          <w:b/>
          <w:bCs/>
          <w:color w:val="442359"/>
          <w:sz w:val="28"/>
          <w:szCs w:val="28"/>
          <w:u w:val="single"/>
        </w:rPr>
        <w:lastRenderedPageBreak/>
        <w:t>Structure, governance and management</w:t>
      </w:r>
    </w:p>
    <w:p w14:paraId="53D4856F" w14:textId="77777777" w:rsidR="001602C0" w:rsidRPr="00C15E3E" w:rsidRDefault="001602C0" w:rsidP="00C15E3E">
      <w:pPr>
        <w:pStyle w:val="Heading2"/>
        <w:spacing w:after="120"/>
        <w:rPr>
          <w:rFonts w:asciiTheme="minorHAnsi" w:hAnsiTheme="minorHAnsi" w:cs="Arial"/>
          <w:bCs/>
          <w:color w:val="442359"/>
          <w:sz w:val="26"/>
          <w:szCs w:val="26"/>
        </w:rPr>
      </w:pPr>
      <w:r w:rsidRPr="00C15E3E">
        <w:rPr>
          <w:rFonts w:asciiTheme="minorHAnsi" w:hAnsiTheme="minorHAnsi" w:cs="Arial"/>
          <w:bCs/>
          <w:color w:val="442359"/>
          <w:sz w:val="26"/>
          <w:szCs w:val="26"/>
        </w:rPr>
        <w:t>Structure</w:t>
      </w:r>
    </w:p>
    <w:p w14:paraId="1B0FE7D7" w14:textId="2D4AD79E" w:rsidR="001602C0" w:rsidRPr="00F91082" w:rsidRDefault="001602C0" w:rsidP="00E540A0">
      <w:pPr>
        <w:pStyle w:val="WBodyText"/>
        <w:spacing w:after="180" w:line="240" w:lineRule="auto"/>
        <w:rPr>
          <w:rFonts w:asciiTheme="minorHAnsi" w:hAnsiTheme="minorHAnsi"/>
          <w:sz w:val="24"/>
        </w:rPr>
      </w:pPr>
      <w:r w:rsidRPr="00F91082">
        <w:rPr>
          <w:rFonts w:asciiTheme="minorHAnsi" w:hAnsiTheme="minorHAnsi"/>
          <w:sz w:val="24"/>
        </w:rPr>
        <w:t>The Thalidomide Trust was set up in 1973</w:t>
      </w:r>
      <w:r w:rsidR="00C3265D">
        <w:rPr>
          <w:rFonts w:asciiTheme="minorHAnsi" w:hAnsiTheme="minorHAnsi"/>
          <w:sz w:val="24"/>
        </w:rPr>
        <w:t xml:space="preserve"> </w:t>
      </w:r>
      <w:r w:rsidRPr="00F91082">
        <w:rPr>
          <w:rFonts w:asciiTheme="minorHAnsi" w:hAnsiTheme="minorHAnsi"/>
          <w:sz w:val="24"/>
        </w:rPr>
        <w:t xml:space="preserve">- originally as the Thalidomide </w:t>
      </w:r>
      <w:proofErr w:type="spellStart"/>
      <w:r w:rsidRPr="00F91082">
        <w:rPr>
          <w:rFonts w:asciiTheme="minorHAnsi" w:hAnsiTheme="minorHAnsi"/>
          <w:sz w:val="24"/>
        </w:rPr>
        <w:t>Childrens</w:t>
      </w:r>
      <w:proofErr w:type="spellEnd"/>
      <w:r w:rsidRPr="00F91082">
        <w:rPr>
          <w:rFonts w:asciiTheme="minorHAnsi" w:hAnsiTheme="minorHAnsi"/>
          <w:sz w:val="24"/>
        </w:rPr>
        <w:t>’ Trust - and is a charitable discretionary Trust registered with the Charity Commission for England and Wales.</w:t>
      </w:r>
    </w:p>
    <w:p w14:paraId="7258FAED" w14:textId="25ED8704" w:rsidR="006529AD" w:rsidRDefault="001602C0" w:rsidP="00E540A0">
      <w:pPr>
        <w:pStyle w:val="WBodyText"/>
        <w:spacing w:after="180" w:line="240" w:lineRule="auto"/>
        <w:rPr>
          <w:rFonts w:asciiTheme="minorHAnsi" w:hAnsiTheme="minorHAnsi"/>
          <w:sz w:val="24"/>
        </w:rPr>
      </w:pPr>
      <w:r w:rsidRPr="00236281">
        <w:rPr>
          <w:rFonts w:asciiTheme="minorHAnsi" w:hAnsiTheme="minorHAnsi"/>
          <w:sz w:val="24"/>
        </w:rPr>
        <w:t xml:space="preserve">With the </w:t>
      </w:r>
      <w:r w:rsidRPr="00422EF7">
        <w:rPr>
          <w:rFonts w:asciiTheme="minorHAnsi" w:hAnsiTheme="minorHAnsi"/>
          <w:sz w:val="24"/>
        </w:rPr>
        <w:t xml:space="preserve">consent of the Charity Commission, </w:t>
      </w:r>
      <w:r>
        <w:rPr>
          <w:rFonts w:asciiTheme="minorHAnsi" w:hAnsiTheme="minorHAnsi"/>
          <w:sz w:val="24"/>
        </w:rPr>
        <w:t xml:space="preserve">on 29 January 2018 </w:t>
      </w:r>
      <w:r w:rsidRPr="00422EF7">
        <w:rPr>
          <w:rFonts w:asciiTheme="minorHAnsi" w:hAnsiTheme="minorHAnsi"/>
          <w:sz w:val="24"/>
        </w:rPr>
        <w:t>a new company limited by guarantee</w:t>
      </w:r>
      <w:r>
        <w:rPr>
          <w:rFonts w:asciiTheme="minorHAnsi" w:hAnsiTheme="minorHAnsi"/>
          <w:sz w:val="24"/>
        </w:rPr>
        <w:t>,</w:t>
      </w:r>
      <w:r w:rsidRPr="00422EF7">
        <w:rPr>
          <w:rFonts w:asciiTheme="minorHAnsi" w:hAnsiTheme="minorHAnsi"/>
          <w:sz w:val="24"/>
        </w:rPr>
        <w:t xml:space="preserve"> </w:t>
      </w:r>
      <w:r>
        <w:rPr>
          <w:rFonts w:asciiTheme="minorHAnsi" w:hAnsiTheme="minorHAnsi"/>
          <w:sz w:val="24"/>
        </w:rPr>
        <w:t xml:space="preserve">The Thalidomide Trust Company </w:t>
      </w:r>
      <w:r w:rsidR="00C3265D">
        <w:rPr>
          <w:rFonts w:asciiTheme="minorHAnsi" w:hAnsiTheme="minorHAnsi"/>
          <w:sz w:val="24"/>
        </w:rPr>
        <w:t>(</w:t>
      </w:r>
      <w:r w:rsidR="00E315C1">
        <w:rPr>
          <w:rFonts w:asciiTheme="minorHAnsi" w:hAnsiTheme="minorHAnsi"/>
          <w:sz w:val="24"/>
        </w:rPr>
        <w:t xml:space="preserve">incorporated on 19 January 2018, </w:t>
      </w:r>
      <w:r>
        <w:rPr>
          <w:rFonts w:asciiTheme="minorHAnsi" w:hAnsiTheme="minorHAnsi"/>
          <w:sz w:val="24"/>
        </w:rPr>
        <w:t>Company Number 11160424</w:t>
      </w:r>
      <w:r w:rsidR="00C3265D">
        <w:rPr>
          <w:rFonts w:asciiTheme="minorHAnsi" w:hAnsiTheme="minorHAnsi"/>
          <w:sz w:val="24"/>
        </w:rPr>
        <w:t>)</w:t>
      </w:r>
      <w:r>
        <w:rPr>
          <w:rFonts w:asciiTheme="minorHAnsi" w:hAnsiTheme="minorHAnsi"/>
          <w:sz w:val="24"/>
        </w:rPr>
        <w:t>, was</w:t>
      </w:r>
      <w:r w:rsidR="009B4F48">
        <w:rPr>
          <w:rFonts w:asciiTheme="minorHAnsi" w:hAnsiTheme="minorHAnsi"/>
          <w:sz w:val="24"/>
        </w:rPr>
        <w:t xml:space="preserve"> appointed as sole Corporate T</w:t>
      </w:r>
      <w:r w:rsidRPr="00422EF7">
        <w:rPr>
          <w:rFonts w:asciiTheme="minorHAnsi" w:hAnsiTheme="minorHAnsi"/>
          <w:sz w:val="24"/>
        </w:rPr>
        <w:t>rustee of the Trust</w:t>
      </w:r>
      <w:r w:rsidR="00E666FF">
        <w:rPr>
          <w:rFonts w:asciiTheme="minorHAnsi" w:hAnsiTheme="minorHAnsi"/>
          <w:sz w:val="24"/>
        </w:rPr>
        <w:t xml:space="preserve">, </w:t>
      </w:r>
      <w:r w:rsidR="00E666FF" w:rsidRPr="007A68E9">
        <w:rPr>
          <w:rFonts w:asciiTheme="minorHAnsi" w:hAnsiTheme="minorHAnsi"/>
          <w:sz w:val="24"/>
        </w:rPr>
        <w:t>replac</w:t>
      </w:r>
      <w:r w:rsidR="003243AE" w:rsidRPr="007A68E9">
        <w:rPr>
          <w:rFonts w:asciiTheme="minorHAnsi" w:hAnsiTheme="minorHAnsi"/>
          <w:sz w:val="24"/>
        </w:rPr>
        <w:t>i</w:t>
      </w:r>
      <w:r w:rsidR="00E666FF" w:rsidRPr="007A68E9">
        <w:rPr>
          <w:rFonts w:asciiTheme="minorHAnsi" w:hAnsiTheme="minorHAnsi"/>
          <w:sz w:val="24"/>
        </w:rPr>
        <w:t>ng</w:t>
      </w:r>
      <w:r w:rsidRPr="00422EF7">
        <w:rPr>
          <w:rFonts w:asciiTheme="minorHAnsi" w:hAnsiTheme="minorHAnsi"/>
          <w:sz w:val="24"/>
        </w:rPr>
        <w:t xml:space="preserve"> the individual trustees. </w:t>
      </w:r>
    </w:p>
    <w:p w14:paraId="4C3DE7E4" w14:textId="180E51A3" w:rsidR="001602C0" w:rsidRPr="00422EF7" w:rsidRDefault="001602C0" w:rsidP="00E540A0">
      <w:pPr>
        <w:pStyle w:val="WBodyText"/>
        <w:spacing w:after="240" w:line="240" w:lineRule="auto"/>
        <w:jc w:val="left"/>
        <w:rPr>
          <w:rFonts w:asciiTheme="minorHAnsi" w:hAnsiTheme="minorHAnsi"/>
          <w:sz w:val="24"/>
        </w:rPr>
      </w:pPr>
      <w:r w:rsidRPr="00422EF7">
        <w:rPr>
          <w:rFonts w:asciiTheme="minorHAnsi" w:hAnsiTheme="minorHAnsi"/>
          <w:sz w:val="24"/>
        </w:rPr>
        <w:t xml:space="preserve">The </w:t>
      </w:r>
      <w:r>
        <w:rPr>
          <w:rFonts w:asciiTheme="minorHAnsi" w:hAnsiTheme="minorHAnsi"/>
          <w:sz w:val="24"/>
        </w:rPr>
        <w:t xml:space="preserve">existing </w:t>
      </w:r>
      <w:r w:rsidRPr="00422EF7">
        <w:rPr>
          <w:rFonts w:asciiTheme="minorHAnsi" w:hAnsiTheme="minorHAnsi"/>
          <w:sz w:val="24"/>
        </w:rPr>
        <w:t xml:space="preserve">trustees </w:t>
      </w:r>
      <w:r>
        <w:rPr>
          <w:rFonts w:asciiTheme="minorHAnsi" w:hAnsiTheme="minorHAnsi"/>
          <w:sz w:val="24"/>
        </w:rPr>
        <w:t>beca</w:t>
      </w:r>
      <w:r w:rsidRPr="00422EF7">
        <w:rPr>
          <w:rFonts w:asciiTheme="minorHAnsi" w:hAnsiTheme="minorHAnsi"/>
          <w:sz w:val="24"/>
        </w:rPr>
        <w:t xml:space="preserve">me the </w:t>
      </w:r>
      <w:r>
        <w:rPr>
          <w:rFonts w:asciiTheme="minorHAnsi" w:hAnsiTheme="minorHAnsi"/>
          <w:sz w:val="24"/>
        </w:rPr>
        <w:t>D</w:t>
      </w:r>
      <w:r w:rsidRPr="00422EF7">
        <w:rPr>
          <w:rFonts w:asciiTheme="minorHAnsi" w:hAnsiTheme="minorHAnsi"/>
          <w:sz w:val="24"/>
        </w:rPr>
        <w:t xml:space="preserve">irectors of the </w:t>
      </w:r>
      <w:r>
        <w:rPr>
          <w:rFonts w:asciiTheme="minorHAnsi" w:hAnsiTheme="minorHAnsi"/>
          <w:sz w:val="24"/>
        </w:rPr>
        <w:t>C</w:t>
      </w:r>
      <w:r w:rsidRPr="00422EF7">
        <w:rPr>
          <w:rFonts w:asciiTheme="minorHAnsi" w:hAnsiTheme="minorHAnsi"/>
          <w:sz w:val="24"/>
        </w:rPr>
        <w:t>ompany</w:t>
      </w:r>
      <w:r w:rsidR="006529AD">
        <w:rPr>
          <w:rFonts w:asciiTheme="minorHAnsi" w:hAnsiTheme="minorHAnsi"/>
          <w:sz w:val="24"/>
        </w:rPr>
        <w:t xml:space="preserve">. However, although legally Directors, in recognition of the fact that they function as trustees and operate within the legal frameworks and guidance </w:t>
      </w:r>
      <w:r w:rsidR="005E3FE3">
        <w:rPr>
          <w:rFonts w:asciiTheme="minorHAnsi" w:hAnsiTheme="minorHAnsi"/>
          <w:sz w:val="24"/>
        </w:rPr>
        <w:t>of</w:t>
      </w:r>
      <w:r w:rsidR="006529AD">
        <w:rPr>
          <w:rFonts w:asciiTheme="minorHAnsi" w:hAnsiTheme="minorHAnsi"/>
          <w:sz w:val="24"/>
        </w:rPr>
        <w:t xml:space="preserve"> the Charity Commission</w:t>
      </w:r>
      <w:r>
        <w:rPr>
          <w:rFonts w:asciiTheme="minorHAnsi" w:hAnsiTheme="minorHAnsi"/>
          <w:sz w:val="24"/>
        </w:rPr>
        <w:t xml:space="preserve">, </w:t>
      </w:r>
      <w:r w:rsidR="006529AD">
        <w:rPr>
          <w:rFonts w:asciiTheme="minorHAnsi" w:hAnsiTheme="minorHAnsi"/>
          <w:sz w:val="24"/>
        </w:rPr>
        <w:t>they continue to be referred to as trustees</w:t>
      </w:r>
      <w:r w:rsidR="00E666FF">
        <w:rPr>
          <w:rFonts w:asciiTheme="minorHAnsi" w:hAnsiTheme="minorHAnsi"/>
          <w:sz w:val="24"/>
        </w:rPr>
        <w:t>.</w:t>
      </w:r>
      <w:r w:rsidR="009B4F48">
        <w:rPr>
          <w:rFonts w:asciiTheme="minorHAnsi" w:hAnsiTheme="minorHAnsi"/>
          <w:sz w:val="24"/>
        </w:rPr>
        <w:t xml:space="preserve">  To reflect this, they </w:t>
      </w:r>
      <w:r>
        <w:rPr>
          <w:rFonts w:asciiTheme="minorHAnsi" w:hAnsiTheme="minorHAnsi"/>
          <w:sz w:val="24"/>
        </w:rPr>
        <w:t>are referred to as trustees throughout this Annual Report.</w:t>
      </w:r>
    </w:p>
    <w:p w14:paraId="7DF5E5EC" w14:textId="53321DE6" w:rsidR="001602C0" w:rsidRPr="00236281" w:rsidRDefault="001602C0" w:rsidP="001602C0">
      <w:pPr>
        <w:pStyle w:val="Heading2"/>
        <w:spacing w:after="120"/>
        <w:rPr>
          <w:rFonts w:asciiTheme="minorHAnsi" w:hAnsiTheme="minorHAnsi" w:cs="Arial"/>
          <w:b w:val="0"/>
          <w:bCs/>
          <w:color w:val="442359"/>
          <w:sz w:val="26"/>
          <w:szCs w:val="26"/>
        </w:rPr>
      </w:pPr>
      <w:r w:rsidRPr="00236281">
        <w:rPr>
          <w:rFonts w:asciiTheme="minorHAnsi" w:hAnsiTheme="minorHAnsi" w:cs="Arial"/>
          <w:bCs/>
          <w:color w:val="442359"/>
          <w:sz w:val="26"/>
          <w:szCs w:val="26"/>
        </w:rPr>
        <w:t>Trustees</w:t>
      </w:r>
      <w:r w:rsidR="00763657">
        <w:rPr>
          <w:rFonts w:asciiTheme="minorHAnsi" w:hAnsiTheme="minorHAnsi" w:cs="Arial"/>
          <w:bCs/>
          <w:color w:val="442359"/>
          <w:sz w:val="26"/>
          <w:szCs w:val="26"/>
        </w:rPr>
        <w:t xml:space="preserve"> (formally </w:t>
      </w:r>
      <w:r w:rsidR="00763657" w:rsidRPr="00E540A0">
        <w:rPr>
          <w:rFonts w:asciiTheme="minorHAnsi" w:hAnsiTheme="minorHAnsi" w:cs="Arial"/>
          <w:bCs/>
          <w:color w:val="442359"/>
          <w:sz w:val="26"/>
          <w:szCs w:val="26"/>
        </w:rPr>
        <w:t>Directors of the Trustee Company)</w:t>
      </w:r>
    </w:p>
    <w:p w14:paraId="5D82959B" w14:textId="740A87EF" w:rsidR="001602C0" w:rsidRDefault="001602C0" w:rsidP="001602C0">
      <w:pPr>
        <w:spacing w:after="180" w:line="240" w:lineRule="auto"/>
        <w:rPr>
          <w:rFonts w:asciiTheme="minorHAnsi" w:hAnsiTheme="minorHAnsi" w:cs="Arial"/>
          <w:sz w:val="24"/>
          <w:szCs w:val="24"/>
        </w:rPr>
      </w:pPr>
      <w:r w:rsidRPr="00976555">
        <w:rPr>
          <w:rFonts w:asciiTheme="minorHAnsi" w:hAnsiTheme="minorHAnsi" w:cs="Arial"/>
          <w:sz w:val="24"/>
          <w:szCs w:val="24"/>
        </w:rPr>
        <w:t xml:space="preserve">The Trust is governed </w:t>
      </w:r>
      <w:r w:rsidRPr="007A68E9">
        <w:rPr>
          <w:rFonts w:asciiTheme="minorHAnsi" w:hAnsiTheme="minorHAnsi" w:cs="Arial"/>
          <w:sz w:val="24"/>
          <w:szCs w:val="24"/>
        </w:rPr>
        <w:t xml:space="preserve">by a </w:t>
      </w:r>
      <w:r w:rsidR="003243AE" w:rsidRPr="007A68E9">
        <w:rPr>
          <w:rFonts w:asciiTheme="minorHAnsi" w:hAnsiTheme="minorHAnsi" w:cs="Arial"/>
          <w:sz w:val="24"/>
          <w:szCs w:val="24"/>
        </w:rPr>
        <w:t>small, skilled</w:t>
      </w:r>
      <w:r w:rsidR="00997759" w:rsidRPr="007A68E9">
        <w:rPr>
          <w:rFonts w:asciiTheme="minorHAnsi" w:hAnsiTheme="minorHAnsi" w:cs="Arial"/>
          <w:sz w:val="24"/>
          <w:szCs w:val="24"/>
        </w:rPr>
        <w:t xml:space="preserve"> </w:t>
      </w:r>
      <w:r w:rsidRPr="007A68E9">
        <w:rPr>
          <w:rFonts w:asciiTheme="minorHAnsi" w:hAnsiTheme="minorHAnsi" w:cs="Arial"/>
          <w:sz w:val="24"/>
          <w:szCs w:val="24"/>
        </w:rPr>
        <w:t xml:space="preserve">Board </w:t>
      </w:r>
      <w:r>
        <w:rPr>
          <w:rFonts w:asciiTheme="minorHAnsi" w:hAnsiTheme="minorHAnsi" w:cs="Arial"/>
          <w:sz w:val="24"/>
          <w:szCs w:val="24"/>
        </w:rPr>
        <w:t xml:space="preserve">who bring a wealth of experience and expertise to the charity including medical, legal, social research, governance, financial management and investment, communication and patient advocacy. </w:t>
      </w:r>
      <w:r w:rsidRPr="00976555">
        <w:rPr>
          <w:rFonts w:asciiTheme="minorHAnsi" w:hAnsiTheme="minorHAnsi" w:cs="Arial"/>
          <w:sz w:val="24"/>
          <w:szCs w:val="24"/>
        </w:rPr>
        <w:t xml:space="preserve"> </w:t>
      </w:r>
      <w:r>
        <w:rPr>
          <w:rFonts w:asciiTheme="minorHAnsi" w:hAnsiTheme="minorHAnsi" w:cs="Arial"/>
          <w:sz w:val="24"/>
          <w:szCs w:val="24"/>
        </w:rPr>
        <w:t>Trustees</w:t>
      </w:r>
      <w:r w:rsidRPr="00976555">
        <w:rPr>
          <w:rFonts w:asciiTheme="minorHAnsi" w:hAnsiTheme="minorHAnsi" w:cs="Arial"/>
          <w:sz w:val="24"/>
          <w:szCs w:val="24"/>
        </w:rPr>
        <w:t xml:space="preserve"> are appointed </w:t>
      </w:r>
      <w:r>
        <w:rPr>
          <w:rFonts w:asciiTheme="minorHAnsi" w:hAnsiTheme="minorHAnsi" w:cs="Arial"/>
          <w:sz w:val="24"/>
          <w:szCs w:val="24"/>
        </w:rPr>
        <w:t>through a structured recruitment process which is overseen by the Trust’s Chair. There is direct beneficiary involvement in all trustee appointments.</w:t>
      </w:r>
    </w:p>
    <w:p w14:paraId="75B23359" w14:textId="77777777" w:rsidR="001602C0" w:rsidRDefault="001602C0" w:rsidP="001602C0">
      <w:pPr>
        <w:spacing w:after="180" w:line="240" w:lineRule="auto"/>
        <w:rPr>
          <w:rFonts w:asciiTheme="minorHAnsi" w:hAnsiTheme="minorHAnsi" w:cs="Arial"/>
          <w:sz w:val="24"/>
          <w:szCs w:val="24"/>
        </w:rPr>
      </w:pPr>
      <w:r>
        <w:rPr>
          <w:rFonts w:asciiTheme="minorHAnsi" w:hAnsiTheme="minorHAnsi" w:cs="Arial"/>
          <w:sz w:val="24"/>
          <w:szCs w:val="24"/>
        </w:rPr>
        <w:t xml:space="preserve">The Trust has a well-defined and comprehensive programme of induction for new trustees and all new trustees are offered a mentor from within the Board. </w:t>
      </w:r>
    </w:p>
    <w:p w14:paraId="5068C794" w14:textId="77777777" w:rsidR="001602C0" w:rsidRDefault="001602C0" w:rsidP="001602C0">
      <w:pPr>
        <w:spacing w:after="180" w:line="240" w:lineRule="auto"/>
        <w:rPr>
          <w:rFonts w:asciiTheme="minorHAnsi" w:hAnsiTheme="minorHAnsi" w:cs="Arial"/>
          <w:sz w:val="24"/>
          <w:szCs w:val="24"/>
        </w:rPr>
      </w:pPr>
      <w:r w:rsidRPr="00976555">
        <w:rPr>
          <w:rFonts w:asciiTheme="minorHAnsi" w:hAnsiTheme="minorHAnsi" w:cs="Arial"/>
          <w:sz w:val="24"/>
          <w:szCs w:val="24"/>
        </w:rPr>
        <w:t xml:space="preserve">The </w:t>
      </w:r>
      <w:r>
        <w:rPr>
          <w:rFonts w:asciiTheme="minorHAnsi" w:hAnsiTheme="minorHAnsi" w:cs="Arial"/>
          <w:sz w:val="24"/>
          <w:szCs w:val="24"/>
        </w:rPr>
        <w:t>t</w:t>
      </w:r>
      <w:r w:rsidRPr="00976555">
        <w:rPr>
          <w:rFonts w:asciiTheme="minorHAnsi" w:hAnsiTheme="minorHAnsi" w:cs="Arial"/>
          <w:sz w:val="24"/>
          <w:szCs w:val="24"/>
        </w:rPr>
        <w:t xml:space="preserve">rustees are legally responsible for the overall management and control of the Trust, and meet as a full </w:t>
      </w:r>
      <w:r>
        <w:rPr>
          <w:rFonts w:asciiTheme="minorHAnsi" w:hAnsiTheme="minorHAnsi" w:cs="Arial"/>
          <w:sz w:val="24"/>
          <w:szCs w:val="24"/>
        </w:rPr>
        <w:t>B</w:t>
      </w:r>
      <w:r w:rsidRPr="00976555">
        <w:rPr>
          <w:rFonts w:asciiTheme="minorHAnsi" w:hAnsiTheme="minorHAnsi" w:cs="Arial"/>
          <w:sz w:val="24"/>
          <w:szCs w:val="24"/>
        </w:rPr>
        <w:t xml:space="preserve">oard at least </w:t>
      </w:r>
      <w:r>
        <w:rPr>
          <w:rFonts w:asciiTheme="minorHAnsi" w:hAnsiTheme="minorHAnsi" w:cs="Arial"/>
          <w:sz w:val="24"/>
          <w:szCs w:val="24"/>
        </w:rPr>
        <w:t>three times</w:t>
      </w:r>
      <w:r w:rsidRPr="00976555">
        <w:rPr>
          <w:rFonts w:asciiTheme="minorHAnsi" w:hAnsiTheme="minorHAnsi" w:cs="Arial"/>
          <w:sz w:val="24"/>
          <w:szCs w:val="24"/>
        </w:rPr>
        <w:t xml:space="preserve"> a year. </w:t>
      </w:r>
      <w:r>
        <w:rPr>
          <w:rFonts w:asciiTheme="minorHAnsi" w:hAnsiTheme="minorHAnsi" w:cs="Arial"/>
          <w:sz w:val="24"/>
          <w:szCs w:val="24"/>
        </w:rPr>
        <w:t xml:space="preserve"> One of these three meetings is an </w:t>
      </w:r>
      <w:proofErr w:type="spellStart"/>
      <w:r>
        <w:rPr>
          <w:rFonts w:asciiTheme="minorHAnsi" w:hAnsiTheme="minorHAnsi" w:cs="Arial"/>
          <w:sz w:val="24"/>
          <w:szCs w:val="24"/>
        </w:rPr>
        <w:t>Awayday</w:t>
      </w:r>
      <w:proofErr w:type="spellEnd"/>
      <w:r>
        <w:rPr>
          <w:rFonts w:asciiTheme="minorHAnsi" w:hAnsiTheme="minorHAnsi" w:cs="Arial"/>
          <w:sz w:val="24"/>
          <w:szCs w:val="24"/>
        </w:rPr>
        <w:t xml:space="preserve"> which enables the trustees and senior staff to spend dedicated time focussing on long term strategic issues.</w:t>
      </w:r>
    </w:p>
    <w:p w14:paraId="5EBD687B" w14:textId="530DDA74" w:rsidR="001602C0" w:rsidRPr="007A68E9" w:rsidRDefault="001602C0" w:rsidP="001602C0">
      <w:pPr>
        <w:spacing w:after="180" w:line="240" w:lineRule="auto"/>
        <w:rPr>
          <w:rFonts w:asciiTheme="minorHAnsi" w:hAnsiTheme="minorHAnsi" w:cs="Arial"/>
          <w:sz w:val="24"/>
          <w:szCs w:val="24"/>
        </w:rPr>
      </w:pPr>
      <w:r w:rsidRPr="00976555">
        <w:rPr>
          <w:rFonts w:asciiTheme="minorHAnsi" w:hAnsiTheme="minorHAnsi" w:cs="Arial"/>
          <w:sz w:val="24"/>
          <w:szCs w:val="24"/>
        </w:rPr>
        <w:t xml:space="preserve">The two key </w:t>
      </w:r>
      <w:r>
        <w:rPr>
          <w:rFonts w:asciiTheme="minorHAnsi" w:hAnsiTheme="minorHAnsi" w:cs="Arial"/>
          <w:sz w:val="24"/>
          <w:szCs w:val="24"/>
        </w:rPr>
        <w:t>Trust C</w:t>
      </w:r>
      <w:r w:rsidRPr="00976555">
        <w:rPr>
          <w:rFonts w:asciiTheme="minorHAnsi" w:hAnsiTheme="minorHAnsi" w:cs="Arial"/>
          <w:sz w:val="24"/>
          <w:szCs w:val="24"/>
        </w:rPr>
        <w:t xml:space="preserve">ommittees are the Health </w:t>
      </w:r>
      <w:r>
        <w:rPr>
          <w:rFonts w:asciiTheme="minorHAnsi" w:hAnsiTheme="minorHAnsi" w:cs="Arial"/>
          <w:sz w:val="24"/>
          <w:szCs w:val="24"/>
        </w:rPr>
        <w:t>&amp;</w:t>
      </w:r>
      <w:r w:rsidRPr="00976555">
        <w:rPr>
          <w:rFonts w:asciiTheme="minorHAnsi" w:hAnsiTheme="minorHAnsi" w:cs="Arial"/>
          <w:sz w:val="24"/>
          <w:szCs w:val="24"/>
        </w:rPr>
        <w:t xml:space="preserve"> Wellbeing Committee and the Finance Committee, wh</w:t>
      </w:r>
      <w:r>
        <w:rPr>
          <w:rFonts w:asciiTheme="minorHAnsi" w:hAnsiTheme="minorHAnsi" w:cs="Arial"/>
          <w:sz w:val="24"/>
          <w:szCs w:val="24"/>
        </w:rPr>
        <w:t>ich</w:t>
      </w:r>
      <w:r w:rsidRPr="00976555">
        <w:rPr>
          <w:rFonts w:asciiTheme="minorHAnsi" w:hAnsiTheme="minorHAnsi" w:cs="Arial"/>
          <w:sz w:val="24"/>
          <w:szCs w:val="24"/>
        </w:rPr>
        <w:t xml:space="preserve"> have met </w:t>
      </w:r>
      <w:r w:rsidRPr="00236281">
        <w:rPr>
          <w:rFonts w:asciiTheme="minorHAnsi" w:hAnsiTheme="minorHAnsi" w:cs="Arial"/>
          <w:sz w:val="24"/>
          <w:szCs w:val="24"/>
        </w:rPr>
        <w:t>two and four times</w:t>
      </w:r>
      <w:r w:rsidRPr="00976555">
        <w:rPr>
          <w:rFonts w:asciiTheme="minorHAnsi" w:hAnsiTheme="minorHAnsi" w:cs="Arial"/>
          <w:sz w:val="24"/>
          <w:szCs w:val="24"/>
        </w:rPr>
        <w:t xml:space="preserve"> respectively during th</w:t>
      </w:r>
      <w:r w:rsidR="00E666FF">
        <w:rPr>
          <w:rFonts w:asciiTheme="minorHAnsi" w:hAnsiTheme="minorHAnsi" w:cs="Arial"/>
          <w:sz w:val="24"/>
          <w:szCs w:val="24"/>
        </w:rPr>
        <w:t>is</w:t>
      </w:r>
      <w:r w:rsidRPr="00976555">
        <w:rPr>
          <w:rFonts w:asciiTheme="minorHAnsi" w:hAnsiTheme="minorHAnsi" w:cs="Arial"/>
          <w:sz w:val="24"/>
          <w:szCs w:val="24"/>
        </w:rPr>
        <w:t xml:space="preserve"> year. </w:t>
      </w:r>
      <w:r>
        <w:rPr>
          <w:rFonts w:asciiTheme="minorHAnsi" w:hAnsiTheme="minorHAnsi" w:cs="Arial"/>
          <w:sz w:val="24"/>
          <w:szCs w:val="24"/>
        </w:rPr>
        <w:t xml:space="preserve">The Health &amp; Wellbeing Committee is jointly-chaired by a trustee and a beneficiary </w:t>
      </w:r>
      <w:r w:rsidRPr="007A68E9">
        <w:rPr>
          <w:rFonts w:asciiTheme="minorHAnsi" w:hAnsiTheme="minorHAnsi" w:cs="Arial"/>
          <w:sz w:val="24"/>
          <w:szCs w:val="24"/>
        </w:rPr>
        <w:t xml:space="preserve">chosen by the </w:t>
      </w:r>
      <w:r w:rsidR="00E666FF" w:rsidRPr="007A68E9">
        <w:rPr>
          <w:rFonts w:asciiTheme="minorHAnsi" w:hAnsiTheme="minorHAnsi" w:cs="Arial"/>
          <w:sz w:val="24"/>
          <w:szCs w:val="24"/>
        </w:rPr>
        <w:t xml:space="preserve">Trust’s </w:t>
      </w:r>
      <w:r w:rsidRPr="007A68E9">
        <w:rPr>
          <w:rFonts w:asciiTheme="minorHAnsi" w:hAnsiTheme="minorHAnsi" w:cs="Arial"/>
          <w:sz w:val="24"/>
          <w:szCs w:val="24"/>
        </w:rPr>
        <w:t>National Advisory Council</w:t>
      </w:r>
      <w:r w:rsidR="00E666FF" w:rsidRPr="007A68E9">
        <w:rPr>
          <w:rFonts w:asciiTheme="minorHAnsi" w:hAnsiTheme="minorHAnsi" w:cs="Arial"/>
          <w:sz w:val="24"/>
          <w:szCs w:val="24"/>
        </w:rPr>
        <w:t xml:space="preserve"> of beneficiaries</w:t>
      </w:r>
      <w:r w:rsidRPr="007A68E9">
        <w:rPr>
          <w:rFonts w:asciiTheme="minorHAnsi" w:hAnsiTheme="minorHAnsi" w:cs="Arial"/>
          <w:sz w:val="24"/>
          <w:szCs w:val="24"/>
        </w:rPr>
        <w:t>.</w:t>
      </w:r>
    </w:p>
    <w:p w14:paraId="235E3038" w14:textId="77777777" w:rsidR="001602C0" w:rsidRPr="007A68E9" w:rsidRDefault="001602C0" w:rsidP="001602C0">
      <w:pPr>
        <w:spacing w:after="120" w:line="240" w:lineRule="auto"/>
        <w:rPr>
          <w:rFonts w:asciiTheme="minorHAnsi" w:hAnsiTheme="minorHAnsi" w:cs="Arial"/>
          <w:sz w:val="24"/>
          <w:szCs w:val="24"/>
        </w:rPr>
      </w:pPr>
      <w:r w:rsidRPr="007A68E9">
        <w:rPr>
          <w:rFonts w:asciiTheme="minorHAnsi" w:hAnsiTheme="minorHAnsi" w:cs="Arial"/>
          <w:sz w:val="24"/>
          <w:szCs w:val="24"/>
        </w:rPr>
        <w:t xml:space="preserve">Additional Committees which met on an ad hoc basis during 2017/18 are: </w:t>
      </w:r>
    </w:p>
    <w:p w14:paraId="6F6C9FA5" w14:textId="4EC04166" w:rsidR="001602C0" w:rsidRPr="00976555" w:rsidRDefault="001602C0" w:rsidP="001602C0">
      <w:pPr>
        <w:numPr>
          <w:ilvl w:val="0"/>
          <w:numId w:val="11"/>
        </w:numPr>
        <w:spacing w:after="120" w:line="240" w:lineRule="auto"/>
        <w:rPr>
          <w:rFonts w:asciiTheme="minorHAnsi" w:hAnsiTheme="minorHAnsi" w:cs="Arial"/>
          <w:sz w:val="24"/>
          <w:szCs w:val="24"/>
        </w:rPr>
      </w:pPr>
      <w:r w:rsidRPr="007A68E9">
        <w:rPr>
          <w:rFonts w:asciiTheme="minorHAnsi" w:hAnsiTheme="minorHAnsi" w:cs="Arial"/>
          <w:sz w:val="24"/>
          <w:szCs w:val="24"/>
        </w:rPr>
        <w:t>Claims Committee</w:t>
      </w:r>
      <w:r w:rsidR="00E666FF" w:rsidRPr="007A68E9">
        <w:rPr>
          <w:rFonts w:asciiTheme="minorHAnsi" w:hAnsiTheme="minorHAnsi" w:cs="Arial"/>
          <w:sz w:val="24"/>
          <w:szCs w:val="24"/>
        </w:rPr>
        <w:t>,</w:t>
      </w:r>
      <w:r w:rsidRPr="007A68E9">
        <w:rPr>
          <w:rFonts w:asciiTheme="minorHAnsi" w:hAnsiTheme="minorHAnsi" w:cs="Arial"/>
          <w:sz w:val="24"/>
          <w:szCs w:val="24"/>
        </w:rPr>
        <w:t xml:space="preserve"> which </w:t>
      </w:r>
      <w:r w:rsidR="00E666FF" w:rsidRPr="007A68E9">
        <w:rPr>
          <w:rFonts w:asciiTheme="minorHAnsi" w:hAnsiTheme="minorHAnsi" w:cs="Arial"/>
          <w:sz w:val="24"/>
          <w:szCs w:val="24"/>
        </w:rPr>
        <w:t xml:space="preserve">considers all evidence and </w:t>
      </w:r>
      <w:r w:rsidRPr="007A68E9">
        <w:rPr>
          <w:rFonts w:asciiTheme="minorHAnsi" w:hAnsiTheme="minorHAnsi" w:cs="Arial"/>
          <w:sz w:val="24"/>
          <w:szCs w:val="24"/>
        </w:rPr>
        <w:t xml:space="preserve">makes recommendations to the Board regarding whether applicants should be accepted as new </w:t>
      </w:r>
      <w:r w:rsidRPr="00976555">
        <w:rPr>
          <w:rFonts w:asciiTheme="minorHAnsi" w:hAnsiTheme="minorHAnsi" w:cs="Arial"/>
          <w:sz w:val="24"/>
          <w:szCs w:val="24"/>
        </w:rPr>
        <w:t>beneficiaries of the Trust.</w:t>
      </w:r>
    </w:p>
    <w:p w14:paraId="35356BD6" w14:textId="6C6A8D6B" w:rsidR="001602C0" w:rsidRPr="00976555" w:rsidRDefault="001602C0" w:rsidP="001602C0">
      <w:pPr>
        <w:numPr>
          <w:ilvl w:val="0"/>
          <w:numId w:val="11"/>
        </w:numPr>
        <w:spacing w:after="180" w:line="240" w:lineRule="auto"/>
        <w:rPr>
          <w:rFonts w:asciiTheme="minorHAnsi" w:hAnsiTheme="minorHAnsi" w:cs="Arial"/>
          <w:sz w:val="24"/>
          <w:szCs w:val="24"/>
        </w:rPr>
      </w:pPr>
      <w:r>
        <w:rPr>
          <w:rFonts w:asciiTheme="minorHAnsi" w:hAnsiTheme="minorHAnsi" w:cs="Arial"/>
          <w:sz w:val="24"/>
          <w:szCs w:val="24"/>
        </w:rPr>
        <w:t xml:space="preserve">Research </w:t>
      </w:r>
      <w:r w:rsidRPr="00976555">
        <w:rPr>
          <w:rFonts w:asciiTheme="minorHAnsi" w:hAnsiTheme="minorHAnsi" w:cs="Arial"/>
          <w:sz w:val="24"/>
          <w:szCs w:val="24"/>
        </w:rPr>
        <w:t>Committee</w:t>
      </w:r>
      <w:r w:rsidR="00E666FF">
        <w:rPr>
          <w:rFonts w:asciiTheme="minorHAnsi" w:hAnsiTheme="minorHAnsi" w:cs="Arial"/>
          <w:sz w:val="24"/>
          <w:szCs w:val="24"/>
        </w:rPr>
        <w:t>,</w:t>
      </w:r>
      <w:r w:rsidRPr="00976555">
        <w:rPr>
          <w:rFonts w:asciiTheme="minorHAnsi" w:hAnsiTheme="minorHAnsi" w:cs="Arial"/>
          <w:sz w:val="24"/>
          <w:szCs w:val="24"/>
        </w:rPr>
        <w:t xml:space="preserve"> wh</w:t>
      </w:r>
      <w:r>
        <w:rPr>
          <w:rFonts w:asciiTheme="minorHAnsi" w:hAnsiTheme="minorHAnsi" w:cs="Arial"/>
          <w:sz w:val="24"/>
          <w:szCs w:val="24"/>
        </w:rPr>
        <w:t>ich</w:t>
      </w:r>
      <w:r w:rsidRPr="00976555">
        <w:rPr>
          <w:rFonts w:asciiTheme="minorHAnsi" w:hAnsiTheme="minorHAnsi" w:cs="Arial"/>
          <w:sz w:val="24"/>
          <w:szCs w:val="24"/>
        </w:rPr>
        <w:t xml:space="preserve"> </w:t>
      </w:r>
      <w:r>
        <w:rPr>
          <w:rFonts w:asciiTheme="minorHAnsi" w:hAnsiTheme="minorHAnsi" w:cs="Arial"/>
          <w:sz w:val="24"/>
          <w:szCs w:val="24"/>
        </w:rPr>
        <w:t xml:space="preserve">oversees all research involving the Trust and its beneficiaries and </w:t>
      </w:r>
      <w:r w:rsidRPr="00976555">
        <w:rPr>
          <w:rFonts w:asciiTheme="minorHAnsi" w:hAnsiTheme="minorHAnsi" w:cs="Arial"/>
          <w:sz w:val="24"/>
          <w:szCs w:val="24"/>
        </w:rPr>
        <w:t>commission</w:t>
      </w:r>
      <w:r>
        <w:rPr>
          <w:rFonts w:asciiTheme="minorHAnsi" w:hAnsiTheme="minorHAnsi" w:cs="Arial"/>
          <w:sz w:val="24"/>
          <w:szCs w:val="24"/>
        </w:rPr>
        <w:t>s</w:t>
      </w:r>
      <w:r w:rsidRPr="00976555">
        <w:rPr>
          <w:rFonts w:asciiTheme="minorHAnsi" w:hAnsiTheme="minorHAnsi" w:cs="Arial"/>
          <w:sz w:val="24"/>
          <w:szCs w:val="24"/>
        </w:rPr>
        <w:t xml:space="preserve"> and shape</w:t>
      </w:r>
      <w:r>
        <w:rPr>
          <w:rFonts w:asciiTheme="minorHAnsi" w:hAnsiTheme="minorHAnsi" w:cs="Arial"/>
          <w:sz w:val="24"/>
          <w:szCs w:val="24"/>
        </w:rPr>
        <w:t>s</w:t>
      </w:r>
      <w:r w:rsidRPr="00976555">
        <w:rPr>
          <w:rFonts w:asciiTheme="minorHAnsi" w:hAnsiTheme="minorHAnsi" w:cs="Arial"/>
          <w:sz w:val="24"/>
          <w:szCs w:val="24"/>
        </w:rPr>
        <w:t xml:space="preserve"> </w:t>
      </w:r>
      <w:r>
        <w:rPr>
          <w:rFonts w:asciiTheme="minorHAnsi" w:hAnsiTheme="minorHAnsi" w:cs="Arial"/>
          <w:sz w:val="24"/>
          <w:szCs w:val="24"/>
        </w:rPr>
        <w:t xml:space="preserve">new </w:t>
      </w:r>
      <w:r w:rsidRPr="00976555">
        <w:rPr>
          <w:rFonts w:asciiTheme="minorHAnsi" w:hAnsiTheme="minorHAnsi" w:cs="Arial"/>
          <w:sz w:val="24"/>
          <w:szCs w:val="24"/>
        </w:rPr>
        <w:t>research projects.</w:t>
      </w:r>
    </w:p>
    <w:p w14:paraId="5D76C3FC" w14:textId="77777777" w:rsidR="001602C0" w:rsidRDefault="001602C0" w:rsidP="001602C0">
      <w:pPr>
        <w:spacing w:after="120" w:line="240" w:lineRule="atLeast"/>
        <w:rPr>
          <w:rFonts w:asciiTheme="minorHAnsi" w:hAnsiTheme="minorHAnsi" w:cs="Arial"/>
          <w:b/>
          <w:color w:val="442359"/>
          <w:sz w:val="24"/>
          <w:szCs w:val="24"/>
        </w:rPr>
      </w:pPr>
      <w:r>
        <w:rPr>
          <w:rFonts w:asciiTheme="minorHAnsi" w:hAnsiTheme="minorHAnsi" w:cs="Arial"/>
          <w:b/>
          <w:color w:val="442359"/>
          <w:sz w:val="24"/>
          <w:szCs w:val="24"/>
        </w:rPr>
        <w:t>S</w:t>
      </w:r>
      <w:r w:rsidRPr="00995E43">
        <w:rPr>
          <w:rFonts w:asciiTheme="minorHAnsi" w:hAnsiTheme="minorHAnsi" w:cs="Arial"/>
          <w:b/>
          <w:color w:val="442359"/>
          <w:sz w:val="24"/>
          <w:szCs w:val="24"/>
        </w:rPr>
        <w:t>taff Team</w:t>
      </w:r>
    </w:p>
    <w:p w14:paraId="3049932F" w14:textId="77777777" w:rsidR="001602C0" w:rsidRDefault="001602C0" w:rsidP="001602C0">
      <w:pPr>
        <w:spacing w:after="180" w:line="240" w:lineRule="atLeast"/>
        <w:rPr>
          <w:rFonts w:asciiTheme="minorHAnsi" w:hAnsiTheme="minorHAnsi" w:cs="Arial"/>
          <w:sz w:val="24"/>
          <w:szCs w:val="24"/>
        </w:rPr>
      </w:pPr>
      <w:r w:rsidRPr="00976555">
        <w:rPr>
          <w:rFonts w:asciiTheme="minorHAnsi" w:hAnsiTheme="minorHAnsi" w:cs="Arial"/>
          <w:sz w:val="24"/>
          <w:szCs w:val="24"/>
        </w:rPr>
        <w:t xml:space="preserve">The day to day running of the Trust is delegated to the </w:t>
      </w:r>
      <w:r>
        <w:rPr>
          <w:rFonts w:asciiTheme="minorHAnsi" w:hAnsiTheme="minorHAnsi" w:cs="Arial"/>
          <w:sz w:val="24"/>
          <w:szCs w:val="24"/>
        </w:rPr>
        <w:t xml:space="preserve">Executive </w:t>
      </w:r>
      <w:r w:rsidRPr="00976555">
        <w:rPr>
          <w:rFonts w:asciiTheme="minorHAnsi" w:hAnsiTheme="minorHAnsi" w:cs="Arial"/>
          <w:sz w:val="24"/>
          <w:szCs w:val="24"/>
        </w:rPr>
        <w:t xml:space="preserve">Director, supported by a small, dedicated </w:t>
      </w:r>
      <w:r>
        <w:rPr>
          <w:rFonts w:asciiTheme="minorHAnsi" w:hAnsiTheme="minorHAnsi" w:cs="Arial"/>
          <w:sz w:val="24"/>
          <w:szCs w:val="24"/>
        </w:rPr>
        <w:t>and skilled staff team</w:t>
      </w:r>
      <w:r w:rsidRPr="00976555">
        <w:rPr>
          <w:rFonts w:asciiTheme="minorHAnsi" w:hAnsiTheme="minorHAnsi" w:cs="Arial"/>
          <w:sz w:val="24"/>
          <w:szCs w:val="24"/>
        </w:rPr>
        <w:t xml:space="preserve">. </w:t>
      </w:r>
    </w:p>
    <w:p w14:paraId="11A0367D" w14:textId="77777777" w:rsidR="001602C0" w:rsidRDefault="001602C0" w:rsidP="001602C0">
      <w:pPr>
        <w:spacing w:before="100" w:beforeAutospacing="1" w:after="120" w:line="240" w:lineRule="atLeast"/>
        <w:rPr>
          <w:rFonts w:asciiTheme="minorHAnsi" w:hAnsiTheme="minorHAnsi" w:cs="Arial"/>
          <w:b/>
          <w:color w:val="442359"/>
          <w:sz w:val="24"/>
          <w:szCs w:val="24"/>
        </w:rPr>
      </w:pPr>
      <w:r w:rsidRPr="00066278">
        <w:rPr>
          <w:rFonts w:asciiTheme="minorHAnsi" w:hAnsiTheme="minorHAnsi" w:cs="Arial"/>
          <w:b/>
          <w:color w:val="442359"/>
          <w:sz w:val="24"/>
          <w:szCs w:val="24"/>
        </w:rPr>
        <w:t>Remuneration Policy</w:t>
      </w:r>
    </w:p>
    <w:p w14:paraId="4A5706AB" w14:textId="77777777" w:rsidR="001602C0" w:rsidRPr="00066278" w:rsidRDefault="001602C0" w:rsidP="001602C0">
      <w:pPr>
        <w:spacing w:after="180" w:line="240" w:lineRule="atLeast"/>
        <w:rPr>
          <w:rFonts w:asciiTheme="minorHAnsi" w:hAnsiTheme="minorHAnsi" w:cs="Arial"/>
          <w:sz w:val="24"/>
          <w:szCs w:val="24"/>
        </w:rPr>
      </w:pPr>
      <w:r w:rsidRPr="00066278">
        <w:rPr>
          <w:rFonts w:asciiTheme="minorHAnsi" w:hAnsiTheme="minorHAnsi" w:cs="Arial"/>
          <w:sz w:val="24"/>
          <w:szCs w:val="24"/>
        </w:rPr>
        <w:t>Th</w:t>
      </w:r>
      <w:r>
        <w:rPr>
          <w:rFonts w:asciiTheme="minorHAnsi" w:hAnsiTheme="minorHAnsi" w:cs="Arial"/>
          <w:sz w:val="24"/>
          <w:szCs w:val="24"/>
        </w:rPr>
        <w:t xml:space="preserve">e trustees are responsible for the Trust’s remuneration policy as well as deciding on the salaries for senior staff.  Trustees take account of market conditions and the pay practice of other comparable charities and employers in the geographic area. </w:t>
      </w:r>
    </w:p>
    <w:p w14:paraId="4B46A6AF" w14:textId="77777777" w:rsidR="00997759" w:rsidRDefault="00997759">
      <w:pPr>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07A79CE0" w14:textId="6DD2CE71" w:rsidR="001602C0" w:rsidRPr="00995E43" w:rsidRDefault="001602C0" w:rsidP="001602C0">
      <w:pPr>
        <w:spacing w:after="120" w:line="240" w:lineRule="atLeast"/>
        <w:rPr>
          <w:rFonts w:asciiTheme="minorHAnsi" w:hAnsiTheme="minorHAnsi" w:cs="Arial"/>
          <w:b/>
          <w:color w:val="442359"/>
          <w:sz w:val="24"/>
          <w:szCs w:val="24"/>
        </w:rPr>
      </w:pPr>
      <w:r w:rsidRPr="00995E43">
        <w:rPr>
          <w:rFonts w:asciiTheme="minorHAnsi" w:hAnsiTheme="minorHAnsi" w:cs="Arial"/>
          <w:b/>
          <w:color w:val="442359"/>
          <w:sz w:val="24"/>
          <w:szCs w:val="24"/>
        </w:rPr>
        <w:lastRenderedPageBreak/>
        <w:t>National Advisory Council</w:t>
      </w:r>
      <w:r>
        <w:rPr>
          <w:rFonts w:asciiTheme="minorHAnsi" w:hAnsiTheme="minorHAnsi" w:cs="Arial"/>
          <w:b/>
          <w:color w:val="442359"/>
          <w:sz w:val="24"/>
          <w:szCs w:val="24"/>
        </w:rPr>
        <w:t xml:space="preserve"> </w:t>
      </w:r>
    </w:p>
    <w:p w14:paraId="4439ED2E" w14:textId="03ECFC41" w:rsidR="001602C0" w:rsidRDefault="001602C0" w:rsidP="00997759">
      <w:pPr>
        <w:spacing w:after="180" w:line="240" w:lineRule="auto"/>
        <w:rPr>
          <w:rFonts w:asciiTheme="minorHAnsi" w:hAnsiTheme="minorHAnsi" w:cs="Arial"/>
          <w:sz w:val="24"/>
          <w:szCs w:val="24"/>
        </w:rPr>
      </w:pPr>
      <w:r>
        <w:rPr>
          <w:rFonts w:asciiTheme="minorHAnsi" w:hAnsiTheme="minorHAnsi" w:cs="Arial"/>
          <w:sz w:val="24"/>
          <w:szCs w:val="24"/>
        </w:rPr>
        <w:t>T</w:t>
      </w:r>
      <w:r w:rsidRPr="00976555">
        <w:rPr>
          <w:rFonts w:asciiTheme="minorHAnsi" w:hAnsiTheme="minorHAnsi" w:cs="Arial"/>
          <w:sz w:val="24"/>
          <w:szCs w:val="24"/>
        </w:rPr>
        <w:t xml:space="preserve">he Trust Deed </w:t>
      </w:r>
      <w:r>
        <w:rPr>
          <w:rFonts w:asciiTheme="minorHAnsi" w:hAnsiTheme="minorHAnsi" w:cs="Arial"/>
          <w:sz w:val="24"/>
          <w:szCs w:val="24"/>
        </w:rPr>
        <w:t>makes provision for the appointment of a beneficiary National Advisory</w:t>
      </w:r>
      <w:r w:rsidR="006C150C">
        <w:rPr>
          <w:rFonts w:asciiTheme="minorHAnsi" w:hAnsiTheme="minorHAnsi" w:cs="Arial"/>
          <w:sz w:val="24"/>
          <w:szCs w:val="24"/>
        </w:rPr>
        <w:t xml:space="preserve"> </w:t>
      </w:r>
      <w:r>
        <w:rPr>
          <w:rFonts w:asciiTheme="minorHAnsi" w:hAnsiTheme="minorHAnsi" w:cs="Arial"/>
          <w:sz w:val="24"/>
          <w:szCs w:val="24"/>
        </w:rPr>
        <w:t>Council (NAC</w:t>
      </w:r>
      <w:r w:rsidRPr="007A68E9">
        <w:rPr>
          <w:rFonts w:asciiTheme="minorHAnsi" w:hAnsiTheme="minorHAnsi" w:cs="Arial"/>
          <w:sz w:val="24"/>
          <w:szCs w:val="24"/>
        </w:rPr>
        <w:t>)</w:t>
      </w:r>
      <w:r w:rsidR="006C150C" w:rsidRPr="007A68E9">
        <w:rPr>
          <w:rFonts w:asciiTheme="minorHAnsi" w:hAnsiTheme="minorHAnsi" w:cs="Arial"/>
          <w:sz w:val="24"/>
          <w:szCs w:val="24"/>
        </w:rPr>
        <w:t xml:space="preserve"> to advise trustees on a range of issues.  </w:t>
      </w:r>
      <w:r w:rsidR="006C150C" w:rsidRPr="001643D9">
        <w:rPr>
          <w:rFonts w:asciiTheme="minorHAnsi" w:hAnsiTheme="minorHAnsi" w:cs="Arial"/>
          <w:color w:val="000000"/>
          <w:sz w:val="24"/>
          <w:szCs w:val="24"/>
          <w:lang w:eastAsia="en-GB"/>
        </w:rPr>
        <w:t xml:space="preserve">The NAC is currently comprised of 12 beneficiaries who are elected by the beneficiary community to represent their views and needs. </w:t>
      </w:r>
      <w:r w:rsidR="006C150C" w:rsidRPr="008C2740">
        <w:rPr>
          <w:rFonts w:asciiTheme="minorHAnsi" w:hAnsiTheme="minorHAnsi"/>
          <w:sz w:val="24"/>
          <w:szCs w:val="24"/>
        </w:rPr>
        <w:t xml:space="preserve">Elections are held each February when three members are elected for a four year term of office.  </w:t>
      </w:r>
      <w:r w:rsidR="006C150C" w:rsidRPr="001643D9">
        <w:rPr>
          <w:rFonts w:asciiTheme="minorHAnsi" w:hAnsiTheme="minorHAnsi" w:cs="Arial"/>
          <w:sz w:val="24"/>
          <w:szCs w:val="24"/>
        </w:rPr>
        <w:t xml:space="preserve">The NAC elects a chair from among the elected members. </w:t>
      </w:r>
      <w:r w:rsidR="006C150C">
        <w:rPr>
          <w:rFonts w:asciiTheme="minorHAnsi" w:hAnsiTheme="minorHAnsi" w:cs="Arial"/>
          <w:sz w:val="24"/>
          <w:szCs w:val="24"/>
        </w:rPr>
        <w:t xml:space="preserve">  The trustees make regulations relating to the election and removal of members of the NAC.</w:t>
      </w:r>
    </w:p>
    <w:p w14:paraId="098BE5ED" w14:textId="7B7E8E54" w:rsidR="001602C0" w:rsidRDefault="001602C0" w:rsidP="00983373">
      <w:pPr>
        <w:pStyle w:val="CM22"/>
        <w:spacing w:after="120"/>
        <w:jc w:val="both"/>
        <w:rPr>
          <w:rFonts w:asciiTheme="minorHAnsi" w:hAnsiTheme="minorHAnsi" w:cs="Arial"/>
          <w:szCs w:val="24"/>
        </w:rPr>
      </w:pPr>
      <w:r w:rsidRPr="00976555">
        <w:rPr>
          <w:rFonts w:asciiTheme="minorHAnsi" w:hAnsiTheme="minorHAnsi" w:cs="Arial"/>
          <w:szCs w:val="24"/>
        </w:rPr>
        <w:t xml:space="preserve">There were </w:t>
      </w:r>
      <w:r w:rsidRPr="00236281">
        <w:rPr>
          <w:rFonts w:asciiTheme="minorHAnsi" w:hAnsiTheme="minorHAnsi" w:cs="Arial"/>
          <w:szCs w:val="24"/>
        </w:rPr>
        <w:t>two</w:t>
      </w:r>
      <w:r w:rsidRPr="00976555">
        <w:rPr>
          <w:rFonts w:asciiTheme="minorHAnsi" w:hAnsiTheme="minorHAnsi" w:cs="Arial"/>
          <w:szCs w:val="24"/>
        </w:rPr>
        <w:t xml:space="preserve"> meetings of the NAC during the year, which were attended by </w:t>
      </w:r>
      <w:r>
        <w:rPr>
          <w:rFonts w:asciiTheme="minorHAnsi" w:hAnsiTheme="minorHAnsi" w:cs="Arial"/>
          <w:szCs w:val="24"/>
        </w:rPr>
        <w:t>t</w:t>
      </w:r>
      <w:r w:rsidRPr="00976555">
        <w:rPr>
          <w:rFonts w:asciiTheme="minorHAnsi" w:hAnsiTheme="minorHAnsi" w:cs="Arial"/>
          <w:szCs w:val="24"/>
        </w:rPr>
        <w:t>rustees</w:t>
      </w:r>
      <w:r>
        <w:rPr>
          <w:rFonts w:asciiTheme="minorHAnsi" w:hAnsiTheme="minorHAnsi" w:cs="Arial"/>
          <w:szCs w:val="24"/>
        </w:rPr>
        <w:t xml:space="preserve"> and </w:t>
      </w:r>
      <w:r w:rsidR="00983373">
        <w:rPr>
          <w:rFonts w:asciiTheme="minorHAnsi" w:hAnsiTheme="minorHAnsi" w:cs="Arial"/>
          <w:szCs w:val="24"/>
        </w:rPr>
        <w:t xml:space="preserve">staff </w:t>
      </w:r>
      <w:r>
        <w:rPr>
          <w:rFonts w:asciiTheme="minorHAnsi" w:hAnsiTheme="minorHAnsi" w:cs="Arial"/>
          <w:szCs w:val="24"/>
        </w:rPr>
        <w:t xml:space="preserve">representatives, and </w:t>
      </w:r>
      <w:r w:rsidR="003243AE">
        <w:rPr>
          <w:rFonts w:asciiTheme="minorHAnsi" w:hAnsiTheme="minorHAnsi" w:cs="Arial"/>
          <w:szCs w:val="24"/>
        </w:rPr>
        <w:t xml:space="preserve">also </w:t>
      </w:r>
      <w:r>
        <w:rPr>
          <w:rFonts w:asciiTheme="minorHAnsi" w:hAnsiTheme="minorHAnsi" w:cs="Arial"/>
          <w:szCs w:val="24"/>
        </w:rPr>
        <w:t xml:space="preserve">an NAC </w:t>
      </w:r>
      <w:proofErr w:type="spellStart"/>
      <w:r>
        <w:rPr>
          <w:rFonts w:asciiTheme="minorHAnsi" w:hAnsiTheme="minorHAnsi" w:cs="Arial"/>
          <w:szCs w:val="24"/>
        </w:rPr>
        <w:t>Awayday</w:t>
      </w:r>
      <w:proofErr w:type="spellEnd"/>
      <w:r>
        <w:rPr>
          <w:rFonts w:asciiTheme="minorHAnsi" w:hAnsiTheme="minorHAnsi" w:cs="Arial"/>
          <w:szCs w:val="24"/>
        </w:rPr>
        <w:t xml:space="preserve"> which was attended solely by members of the NAC.</w:t>
      </w:r>
    </w:p>
    <w:p w14:paraId="57006D98" w14:textId="412717E3" w:rsidR="001602C0" w:rsidRDefault="001602C0" w:rsidP="001602C0">
      <w:pPr>
        <w:spacing w:after="180" w:line="240" w:lineRule="auto"/>
        <w:rPr>
          <w:rFonts w:asciiTheme="minorHAnsi" w:hAnsiTheme="minorHAnsi" w:cs="Arial"/>
          <w:sz w:val="24"/>
          <w:szCs w:val="24"/>
        </w:rPr>
      </w:pPr>
      <w:r>
        <w:rPr>
          <w:rFonts w:asciiTheme="minorHAnsi" w:hAnsiTheme="minorHAnsi" w:cs="Arial"/>
          <w:sz w:val="24"/>
          <w:szCs w:val="24"/>
        </w:rPr>
        <w:t>Beneficiary representatives</w:t>
      </w:r>
      <w:r w:rsidRPr="00976555">
        <w:rPr>
          <w:rFonts w:asciiTheme="minorHAnsi" w:hAnsiTheme="minorHAnsi" w:cs="Arial"/>
          <w:sz w:val="24"/>
          <w:szCs w:val="24"/>
        </w:rPr>
        <w:t xml:space="preserve"> </w:t>
      </w:r>
      <w:r>
        <w:rPr>
          <w:rFonts w:asciiTheme="minorHAnsi" w:hAnsiTheme="minorHAnsi" w:cs="Arial"/>
          <w:sz w:val="24"/>
          <w:szCs w:val="24"/>
        </w:rPr>
        <w:t xml:space="preserve">from the NAC </w:t>
      </w:r>
      <w:r w:rsidRPr="00976555">
        <w:rPr>
          <w:rFonts w:asciiTheme="minorHAnsi" w:hAnsiTheme="minorHAnsi" w:cs="Arial"/>
          <w:sz w:val="24"/>
          <w:szCs w:val="24"/>
        </w:rPr>
        <w:t xml:space="preserve">attend meetings of the Board, Finance Committee, Health </w:t>
      </w:r>
      <w:r>
        <w:rPr>
          <w:rFonts w:asciiTheme="minorHAnsi" w:hAnsiTheme="minorHAnsi" w:cs="Arial"/>
          <w:sz w:val="24"/>
          <w:szCs w:val="24"/>
        </w:rPr>
        <w:t>&amp;</w:t>
      </w:r>
      <w:r w:rsidRPr="00976555">
        <w:rPr>
          <w:rFonts w:asciiTheme="minorHAnsi" w:hAnsiTheme="minorHAnsi" w:cs="Arial"/>
          <w:sz w:val="24"/>
          <w:szCs w:val="24"/>
        </w:rPr>
        <w:t xml:space="preserve"> Wellbeing Committee</w:t>
      </w:r>
      <w:r>
        <w:rPr>
          <w:rFonts w:asciiTheme="minorHAnsi" w:hAnsiTheme="minorHAnsi" w:cs="Arial"/>
          <w:sz w:val="24"/>
          <w:szCs w:val="24"/>
        </w:rPr>
        <w:t xml:space="preserve"> and Research </w:t>
      </w:r>
      <w:r w:rsidRPr="00976555">
        <w:rPr>
          <w:rFonts w:asciiTheme="minorHAnsi" w:hAnsiTheme="minorHAnsi" w:cs="Arial"/>
          <w:sz w:val="24"/>
          <w:szCs w:val="24"/>
        </w:rPr>
        <w:t xml:space="preserve">Committee </w:t>
      </w:r>
      <w:r>
        <w:rPr>
          <w:rFonts w:asciiTheme="minorHAnsi" w:hAnsiTheme="minorHAnsi" w:cs="Arial"/>
          <w:sz w:val="24"/>
          <w:szCs w:val="24"/>
        </w:rPr>
        <w:t xml:space="preserve">to represent the views of the beneficiary community </w:t>
      </w:r>
      <w:r w:rsidR="006C150C">
        <w:rPr>
          <w:rFonts w:asciiTheme="minorHAnsi" w:hAnsiTheme="minorHAnsi" w:cs="Arial"/>
          <w:sz w:val="24"/>
          <w:szCs w:val="24"/>
        </w:rPr>
        <w:t>to inform</w:t>
      </w:r>
      <w:r>
        <w:rPr>
          <w:rFonts w:asciiTheme="minorHAnsi" w:hAnsiTheme="minorHAnsi" w:cs="Arial"/>
          <w:sz w:val="24"/>
          <w:szCs w:val="24"/>
        </w:rPr>
        <w:t xml:space="preserve"> the Trust’s decision-making.</w:t>
      </w:r>
    </w:p>
    <w:p w14:paraId="46793869" w14:textId="3F2F3459" w:rsidR="001602C0" w:rsidRDefault="001602C0" w:rsidP="001602C0">
      <w:pPr>
        <w:spacing w:after="0" w:line="240" w:lineRule="auto"/>
        <w:rPr>
          <w:rFonts w:asciiTheme="minorHAnsi" w:hAnsiTheme="minorHAnsi" w:cs="Arial"/>
          <w:sz w:val="24"/>
          <w:szCs w:val="24"/>
        </w:rPr>
      </w:pPr>
      <w:r>
        <w:rPr>
          <w:rFonts w:asciiTheme="minorHAnsi" w:hAnsiTheme="minorHAnsi" w:cs="Arial"/>
          <w:sz w:val="24"/>
          <w:szCs w:val="24"/>
        </w:rPr>
        <w:t>During the year the</w:t>
      </w:r>
      <w:r w:rsidRPr="00976555">
        <w:rPr>
          <w:rFonts w:asciiTheme="minorHAnsi" w:hAnsiTheme="minorHAnsi" w:cs="Arial"/>
          <w:sz w:val="24"/>
          <w:szCs w:val="24"/>
        </w:rPr>
        <w:t xml:space="preserve"> NAC publishe</w:t>
      </w:r>
      <w:r>
        <w:rPr>
          <w:rFonts w:asciiTheme="minorHAnsi" w:hAnsiTheme="minorHAnsi" w:cs="Arial"/>
          <w:sz w:val="24"/>
          <w:szCs w:val="24"/>
        </w:rPr>
        <w:t xml:space="preserve">d </w:t>
      </w:r>
      <w:r w:rsidRPr="00976555">
        <w:rPr>
          <w:rFonts w:asciiTheme="minorHAnsi" w:hAnsiTheme="minorHAnsi" w:cs="Arial"/>
          <w:sz w:val="24"/>
          <w:szCs w:val="24"/>
        </w:rPr>
        <w:t>regular newsletters</w:t>
      </w:r>
      <w:r>
        <w:rPr>
          <w:rFonts w:asciiTheme="minorHAnsi" w:hAnsiTheme="minorHAnsi" w:cs="Arial"/>
          <w:sz w:val="24"/>
          <w:szCs w:val="24"/>
        </w:rPr>
        <w:t xml:space="preserve"> to keep the beneficiary community informed</w:t>
      </w:r>
      <w:r w:rsidR="006C150C">
        <w:rPr>
          <w:rFonts w:asciiTheme="minorHAnsi" w:hAnsiTheme="minorHAnsi" w:cs="Arial"/>
          <w:sz w:val="24"/>
          <w:szCs w:val="24"/>
        </w:rPr>
        <w:t xml:space="preserve"> </w:t>
      </w:r>
      <w:r w:rsidR="006C150C" w:rsidRPr="007A68E9">
        <w:rPr>
          <w:rFonts w:asciiTheme="minorHAnsi" w:hAnsiTheme="minorHAnsi" w:cs="Arial"/>
          <w:sz w:val="24"/>
          <w:szCs w:val="24"/>
        </w:rPr>
        <w:t>of its and the Trust’s activities</w:t>
      </w:r>
      <w:r w:rsidRPr="007A68E9">
        <w:rPr>
          <w:rFonts w:asciiTheme="minorHAnsi" w:hAnsiTheme="minorHAnsi" w:cs="Arial"/>
          <w:sz w:val="24"/>
          <w:szCs w:val="24"/>
        </w:rPr>
        <w:t xml:space="preserve">.  NAC </w:t>
      </w:r>
      <w:r>
        <w:rPr>
          <w:rFonts w:asciiTheme="minorHAnsi" w:hAnsiTheme="minorHAnsi" w:cs="Arial"/>
          <w:sz w:val="24"/>
          <w:szCs w:val="24"/>
        </w:rPr>
        <w:t>representatives attended all Trust events</w:t>
      </w:r>
      <w:r w:rsidR="00454183">
        <w:rPr>
          <w:rFonts w:asciiTheme="minorHAnsi" w:hAnsiTheme="minorHAnsi" w:cs="Arial"/>
          <w:sz w:val="24"/>
          <w:szCs w:val="24"/>
        </w:rPr>
        <w:t>,</w:t>
      </w:r>
      <w:r>
        <w:rPr>
          <w:rFonts w:asciiTheme="minorHAnsi" w:hAnsiTheme="minorHAnsi" w:cs="Arial"/>
          <w:sz w:val="24"/>
          <w:szCs w:val="24"/>
        </w:rPr>
        <w:t xml:space="preserve"> which provided opportunities for them to meet with the beneficiary community </w:t>
      </w:r>
      <w:r w:rsidR="00454183">
        <w:rPr>
          <w:rFonts w:asciiTheme="minorHAnsi" w:hAnsiTheme="minorHAnsi" w:cs="Arial"/>
          <w:sz w:val="24"/>
          <w:szCs w:val="24"/>
        </w:rPr>
        <w:t>to</w:t>
      </w:r>
      <w:r>
        <w:rPr>
          <w:rFonts w:asciiTheme="minorHAnsi" w:hAnsiTheme="minorHAnsi" w:cs="Arial"/>
          <w:sz w:val="24"/>
          <w:szCs w:val="24"/>
        </w:rPr>
        <w:t xml:space="preserve"> share information and seek feedback.</w:t>
      </w:r>
    </w:p>
    <w:p w14:paraId="3375E5F8" w14:textId="77777777" w:rsidR="001602C0" w:rsidRPr="00532DC6" w:rsidRDefault="001602C0" w:rsidP="001602C0">
      <w:pPr>
        <w:spacing w:before="180" w:after="120" w:line="240" w:lineRule="atLeast"/>
        <w:rPr>
          <w:rFonts w:asciiTheme="minorHAnsi" w:hAnsiTheme="minorHAnsi" w:cs="Arial"/>
          <w:b/>
          <w:color w:val="442359"/>
          <w:sz w:val="24"/>
          <w:szCs w:val="24"/>
        </w:rPr>
      </w:pPr>
      <w:r w:rsidRPr="00532DC6">
        <w:rPr>
          <w:rFonts w:asciiTheme="minorHAnsi" w:hAnsiTheme="minorHAnsi" w:cs="Arial"/>
          <w:b/>
          <w:color w:val="442359"/>
          <w:sz w:val="24"/>
          <w:szCs w:val="24"/>
        </w:rPr>
        <w:t>Volunteers</w:t>
      </w:r>
    </w:p>
    <w:p w14:paraId="4D041C0E" w14:textId="1D2AA681" w:rsidR="001602C0" w:rsidRDefault="001602C0" w:rsidP="001602C0">
      <w:pPr>
        <w:spacing w:after="180" w:line="240" w:lineRule="atLeast"/>
        <w:rPr>
          <w:rFonts w:asciiTheme="minorHAnsi" w:hAnsiTheme="minorHAnsi" w:cs="Arial"/>
          <w:sz w:val="24"/>
          <w:szCs w:val="24"/>
        </w:rPr>
      </w:pPr>
      <w:r>
        <w:rPr>
          <w:rFonts w:asciiTheme="minorHAnsi" w:hAnsiTheme="minorHAnsi" w:cs="Arial"/>
          <w:sz w:val="24"/>
          <w:szCs w:val="24"/>
        </w:rPr>
        <w:t xml:space="preserve">A number of beneficiaries generously volunteer their time and expertise to support the Trust and, through it, the broader beneficiary community.  In the last 12 months over 30 beneficiaries volunteered their time in a wide range of roles including: providing peer support; membership of the NAC; sitting as beneficiary representatives on Trust Committees; attending meetings with the four UK Health Departments and contributing to </w:t>
      </w:r>
      <w:r w:rsidR="00454183" w:rsidRPr="007A68E9">
        <w:rPr>
          <w:rFonts w:asciiTheme="minorHAnsi" w:hAnsiTheme="minorHAnsi" w:cs="Arial"/>
          <w:sz w:val="24"/>
          <w:szCs w:val="24"/>
        </w:rPr>
        <w:t>various T</w:t>
      </w:r>
      <w:r w:rsidR="00454183">
        <w:rPr>
          <w:rFonts w:asciiTheme="minorHAnsi" w:hAnsiTheme="minorHAnsi" w:cs="Arial"/>
          <w:sz w:val="24"/>
          <w:szCs w:val="24"/>
        </w:rPr>
        <w:t xml:space="preserve">rust </w:t>
      </w:r>
      <w:r>
        <w:rPr>
          <w:rFonts w:asciiTheme="minorHAnsi" w:hAnsiTheme="minorHAnsi" w:cs="Arial"/>
          <w:sz w:val="24"/>
          <w:szCs w:val="24"/>
        </w:rPr>
        <w:t xml:space="preserve">projects. </w:t>
      </w:r>
    </w:p>
    <w:p w14:paraId="31B5316F" w14:textId="77777777" w:rsidR="001602C0" w:rsidRPr="00C15E3E" w:rsidRDefault="001602C0" w:rsidP="00C15E3E">
      <w:pPr>
        <w:spacing w:before="180" w:after="120" w:line="240" w:lineRule="atLeast"/>
        <w:rPr>
          <w:rFonts w:asciiTheme="minorHAnsi" w:hAnsiTheme="minorHAnsi" w:cs="Arial"/>
          <w:b/>
          <w:color w:val="442359"/>
          <w:sz w:val="24"/>
          <w:szCs w:val="24"/>
        </w:rPr>
      </w:pPr>
      <w:r w:rsidRPr="00C15E3E">
        <w:rPr>
          <w:rFonts w:asciiTheme="minorHAnsi" w:hAnsiTheme="minorHAnsi" w:cs="Arial"/>
          <w:b/>
          <w:color w:val="442359"/>
          <w:sz w:val="24"/>
          <w:szCs w:val="24"/>
        </w:rPr>
        <w:t>Beneficiaries</w:t>
      </w:r>
    </w:p>
    <w:p w14:paraId="0F363BD4" w14:textId="77777777" w:rsidR="001602C0" w:rsidRDefault="001602C0" w:rsidP="001602C0">
      <w:pPr>
        <w:autoSpaceDE w:val="0"/>
        <w:autoSpaceDN w:val="0"/>
        <w:adjustRightInd w:val="0"/>
        <w:spacing w:after="180" w:line="240" w:lineRule="auto"/>
        <w:rPr>
          <w:rFonts w:asciiTheme="minorHAnsi" w:hAnsiTheme="minorHAnsi" w:cs="Arial"/>
          <w:sz w:val="24"/>
          <w:szCs w:val="24"/>
        </w:rPr>
      </w:pPr>
      <w:r>
        <w:rPr>
          <w:rFonts w:asciiTheme="minorHAnsi" w:hAnsiTheme="minorHAnsi" w:cs="Arial"/>
          <w:sz w:val="24"/>
          <w:szCs w:val="24"/>
        </w:rPr>
        <w:t>T</w:t>
      </w:r>
      <w:r w:rsidRPr="00976555">
        <w:rPr>
          <w:rFonts w:asciiTheme="minorHAnsi" w:hAnsiTheme="minorHAnsi" w:cs="Arial"/>
          <w:sz w:val="24"/>
          <w:szCs w:val="24"/>
        </w:rPr>
        <w:t>he Trust has responsibility</w:t>
      </w:r>
      <w:r>
        <w:rPr>
          <w:rFonts w:asciiTheme="minorHAnsi" w:hAnsiTheme="minorHAnsi" w:cs="Arial"/>
          <w:sz w:val="24"/>
          <w:szCs w:val="24"/>
        </w:rPr>
        <w:t xml:space="preserve"> for assessing new applications to become beneficiaries of the Trust and has </w:t>
      </w:r>
      <w:r w:rsidRPr="00F459A8">
        <w:rPr>
          <w:rFonts w:asciiTheme="minorHAnsi" w:hAnsiTheme="minorHAnsi" w:cs="Arial"/>
          <w:sz w:val="24"/>
          <w:szCs w:val="24"/>
        </w:rPr>
        <w:t xml:space="preserve">established a robust procedure for </w:t>
      </w:r>
      <w:r>
        <w:rPr>
          <w:rFonts w:asciiTheme="minorHAnsi" w:hAnsiTheme="minorHAnsi" w:cs="Arial"/>
          <w:sz w:val="24"/>
          <w:szCs w:val="24"/>
        </w:rPr>
        <w:t xml:space="preserve">assessing </w:t>
      </w:r>
      <w:r w:rsidRPr="00F459A8">
        <w:rPr>
          <w:rFonts w:asciiTheme="minorHAnsi" w:hAnsiTheme="minorHAnsi" w:cs="Arial"/>
          <w:sz w:val="24"/>
          <w:szCs w:val="24"/>
        </w:rPr>
        <w:t>new applications</w:t>
      </w:r>
      <w:r>
        <w:rPr>
          <w:rFonts w:asciiTheme="minorHAnsi" w:hAnsiTheme="minorHAnsi" w:cs="Arial"/>
          <w:sz w:val="24"/>
          <w:szCs w:val="24"/>
        </w:rPr>
        <w:t xml:space="preserve">, drawing on international evidence and the conclusions of the WHO conference on Thalidomide </w:t>
      </w:r>
      <w:proofErr w:type="spellStart"/>
      <w:r>
        <w:rPr>
          <w:rFonts w:asciiTheme="minorHAnsi" w:hAnsiTheme="minorHAnsi" w:cs="Arial"/>
          <w:sz w:val="24"/>
          <w:szCs w:val="24"/>
        </w:rPr>
        <w:t>Embryopathy</w:t>
      </w:r>
      <w:proofErr w:type="spellEnd"/>
      <w:r>
        <w:rPr>
          <w:rFonts w:asciiTheme="minorHAnsi" w:hAnsiTheme="minorHAnsi" w:cs="Arial"/>
          <w:sz w:val="24"/>
          <w:szCs w:val="24"/>
        </w:rPr>
        <w:t xml:space="preserve"> held in early 2014</w:t>
      </w:r>
      <w:r w:rsidRPr="00F459A8">
        <w:rPr>
          <w:rFonts w:asciiTheme="minorHAnsi" w:hAnsiTheme="minorHAnsi" w:cs="Arial"/>
          <w:sz w:val="24"/>
          <w:szCs w:val="24"/>
        </w:rPr>
        <w:t xml:space="preserve">. </w:t>
      </w:r>
      <w:r>
        <w:rPr>
          <w:rFonts w:asciiTheme="minorHAnsi" w:hAnsiTheme="minorHAnsi" w:cs="Arial"/>
          <w:sz w:val="24"/>
          <w:szCs w:val="24"/>
        </w:rPr>
        <w:t xml:space="preserve"> </w:t>
      </w:r>
    </w:p>
    <w:p w14:paraId="2EA1F8F3" w14:textId="4E6334E1" w:rsidR="001602C0" w:rsidRPr="00E348F3" w:rsidRDefault="001602C0" w:rsidP="001602C0">
      <w:pPr>
        <w:autoSpaceDE w:val="0"/>
        <w:autoSpaceDN w:val="0"/>
        <w:adjustRightInd w:val="0"/>
        <w:spacing w:after="180" w:line="240" w:lineRule="auto"/>
        <w:rPr>
          <w:rFonts w:asciiTheme="minorHAnsi" w:hAnsiTheme="minorHAnsi" w:cs="Arial"/>
          <w:color w:val="2F5496" w:themeColor="accent5" w:themeShade="BF"/>
          <w:sz w:val="24"/>
          <w:szCs w:val="24"/>
        </w:rPr>
      </w:pPr>
      <w:r w:rsidRPr="00AE1D56">
        <w:rPr>
          <w:rFonts w:asciiTheme="minorHAnsi" w:hAnsiTheme="minorHAnsi" w:cs="Arial"/>
          <w:sz w:val="24"/>
          <w:szCs w:val="24"/>
        </w:rPr>
        <w:t>During the year, the Trust received</w:t>
      </w:r>
      <w:r w:rsidRPr="00B5056B">
        <w:rPr>
          <w:rFonts w:asciiTheme="minorHAnsi" w:hAnsiTheme="minorHAnsi" w:cs="Arial"/>
          <w:color w:val="FF0000"/>
          <w:sz w:val="24"/>
          <w:szCs w:val="24"/>
        </w:rPr>
        <w:t xml:space="preserve"> </w:t>
      </w:r>
      <w:r>
        <w:rPr>
          <w:rFonts w:asciiTheme="minorHAnsi" w:hAnsiTheme="minorHAnsi" w:cs="Arial"/>
          <w:sz w:val="24"/>
          <w:szCs w:val="24"/>
        </w:rPr>
        <w:t xml:space="preserve">24 completed </w:t>
      </w:r>
      <w:r w:rsidRPr="00AE1D56">
        <w:rPr>
          <w:rFonts w:asciiTheme="minorHAnsi" w:hAnsiTheme="minorHAnsi" w:cs="Arial"/>
          <w:sz w:val="24"/>
          <w:szCs w:val="24"/>
        </w:rPr>
        <w:t xml:space="preserve">applications from individuals who </w:t>
      </w:r>
      <w:r>
        <w:rPr>
          <w:rFonts w:asciiTheme="minorHAnsi" w:hAnsiTheme="minorHAnsi" w:cs="Arial"/>
          <w:sz w:val="24"/>
          <w:szCs w:val="24"/>
        </w:rPr>
        <w:t xml:space="preserve">thought </w:t>
      </w:r>
      <w:r w:rsidRPr="00AE1D56">
        <w:rPr>
          <w:rFonts w:asciiTheme="minorHAnsi" w:hAnsiTheme="minorHAnsi" w:cs="Arial"/>
          <w:sz w:val="24"/>
          <w:szCs w:val="24"/>
        </w:rPr>
        <w:t xml:space="preserve">they may be entitled to become beneficiaries.  </w:t>
      </w:r>
      <w:r>
        <w:rPr>
          <w:rFonts w:asciiTheme="minorHAnsi" w:hAnsiTheme="minorHAnsi" w:cs="Arial"/>
          <w:sz w:val="24"/>
          <w:szCs w:val="24"/>
        </w:rPr>
        <w:t xml:space="preserve">Of these, two </w:t>
      </w:r>
      <w:r w:rsidRPr="00BC289E">
        <w:rPr>
          <w:rFonts w:asciiTheme="minorHAnsi" w:hAnsiTheme="minorHAnsi" w:cs="Arial"/>
          <w:sz w:val="24"/>
          <w:szCs w:val="24"/>
        </w:rPr>
        <w:t>individuals met the criteria to qualify and have been accepted as beneficiaries</w:t>
      </w:r>
      <w:r w:rsidR="00454183">
        <w:rPr>
          <w:rFonts w:asciiTheme="minorHAnsi" w:hAnsiTheme="minorHAnsi" w:cs="Arial"/>
          <w:sz w:val="24"/>
          <w:szCs w:val="24"/>
        </w:rPr>
        <w:t>.</w:t>
      </w:r>
    </w:p>
    <w:p w14:paraId="16D86051" w14:textId="77777777" w:rsidR="001602C0" w:rsidRDefault="001602C0" w:rsidP="001602C0">
      <w:pPr>
        <w:autoSpaceDE w:val="0"/>
        <w:autoSpaceDN w:val="0"/>
        <w:adjustRightInd w:val="0"/>
        <w:spacing w:after="180" w:line="240" w:lineRule="auto"/>
        <w:rPr>
          <w:rFonts w:asciiTheme="minorHAnsi" w:hAnsiTheme="minorHAnsi" w:cs="Arial"/>
          <w:sz w:val="24"/>
          <w:szCs w:val="24"/>
        </w:rPr>
      </w:pPr>
      <w:r w:rsidRPr="00976555">
        <w:rPr>
          <w:rFonts w:asciiTheme="minorHAnsi" w:hAnsiTheme="minorHAnsi" w:cs="Arial"/>
          <w:sz w:val="24"/>
          <w:szCs w:val="24"/>
        </w:rPr>
        <w:t xml:space="preserve">It is with regret that the </w:t>
      </w:r>
      <w:r>
        <w:rPr>
          <w:rFonts w:asciiTheme="minorHAnsi" w:hAnsiTheme="minorHAnsi" w:cs="Arial"/>
          <w:sz w:val="24"/>
          <w:szCs w:val="24"/>
        </w:rPr>
        <w:t>t</w:t>
      </w:r>
      <w:r w:rsidRPr="00976555">
        <w:rPr>
          <w:rFonts w:asciiTheme="minorHAnsi" w:hAnsiTheme="minorHAnsi" w:cs="Arial"/>
          <w:sz w:val="24"/>
          <w:szCs w:val="24"/>
        </w:rPr>
        <w:t xml:space="preserve">rustees report the deaths of </w:t>
      </w:r>
      <w:r>
        <w:rPr>
          <w:rFonts w:asciiTheme="minorHAnsi" w:hAnsiTheme="minorHAnsi" w:cs="Arial"/>
          <w:sz w:val="24"/>
          <w:szCs w:val="24"/>
        </w:rPr>
        <w:t>four</w:t>
      </w:r>
      <w:r w:rsidRPr="00976555">
        <w:rPr>
          <w:rFonts w:asciiTheme="minorHAnsi" w:hAnsiTheme="minorHAnsi" w:cs="Arial"/>
          <w:sz w:val="24"/>
          <w:szCs w:val="24"/>
        </w:rPr>
        <w:t xml:space="preserve"> beneficiaries </w:t>
      </w:r>
      <w:r>
        <w:rPr>
          <w:rFonts w:asciiTheme="minorHAnsi" w:hAnsiTheme="minorHAnsi" w:cs="Arial"/>
          <w:sz w:val="24"/>
          <w:szCs w:val="24"/>
        </w:rPr>
        <w:t xml:space="preserve">during </w:t>
      </w:r>
      <w:r w:rsidRPr="00976555">
        <w:rPr>
          <w:rFonts w:asciiTheme="minorHAnsi" w:hAnsiTheme="minorHAnsi" w:cs="Arial"/>
          <w:sz w:val="24"/>
          <w:szCs w:val="24"/>
        </w:rPr>
        <w:t>the year</w:t>
      </w:r>
      <w:r>
        <w:rPr>
          <w:rFonts w:asciiTheme="minorHAnsi" w:hAnsiTheme="minorHAnsi" w:cs="Arial"/>
          <w:sz w:val="24"/>
          <w:szCs w:val="24"/>
        </w:rPr>
        <w:t>. A</w:t>
      </w:r>
      <w:r w:rsidRPr="00976555">
        <w:rPr>
          <w:rFonts w:asciiTheme="minorHAnsi" w:hAnsiTheme="minorHAnsi" w:cs="Arial"/>
          <w:sz w:val="24"/>
          <w:szCs w:val="24"/>
        </w:rPr>
        <w:t>t 30 September 20</w:t>
      </w:r>
      <w:r>
        <w:rPr>
          <w:rFonts w:asciiTheme="minorHAnsi" w:hAnsiTheme="minorHAnsi" w:cs="Arial"/>
          <w:sz w:val="24"/>
          <w:szCs w:val="24"/>
        </w:rPr>
        <w:t>18</w:t>
      </w:r>
      <w:r w:rsidRPr="00976555">
        <w:rPr>
          <w:rFonts w:asciiTheme="minorHAnsi" w:hAnsiTheme="minorHAnsi" w:cs="Arial"/>
          <w:sz w:val="24"/>
          <w:szCs w:val="24"/>
        </w:rPr>
        <w:t xml:space="preserve"> there were </w:t>
      </w:r>
      <w:r>
        <w:rPr>
          <w:rFonts w:asciiTheme="minorHAnsi" w:hAnsiTheme="minorHAnsi" w:cs="Arial"/>
          <w:sz w:val="24"/>
          <w:szCs w:val="24"/>
        </w:rPr>
        <w:t xml:space="preserve">466 </w:t>
      </w:r>
      <w:r w:rsidRPr="00976555">
        <w:rPr>
          <w:rFonts w:asciiTheme="minorHAnsi" w:hAnsiTheme="minorHAnsi" w:cs="Arial"/>
          <w:sz w:val="24"/>
          <w:szCs w:val="24"/>
        </w:rPr>
        <w:t>beneficiaries (201</w:t>
      </w:r>
      <w:r>
        <w:rPr>
          <w:rFonts w:asciiTheme="minorHAnsi" w:hAnsiTheme="minorHAnsi" w:cs="Arial"/>
          <w:sz w:val="24"/>
          <w:szCs w:val="24"/>
        </w:rPr>
        <w:t>7</w:t>
      </w:r>
      <w:r w:rsidRPr="00976555">
        <w:rPr>
          <w:rFonts w:asciiTheme="minorHAnsi" w:hAnsiTheme="minorHAnsi" w:cs="Arial"/>
          <w:sz w:val="24"/>
          <w:szCs w:val="24"/>
        </w:rPr>
        <w:t>: 46</w:t>
      </w:r>
      <w:r>
        <w:rPr>
          <w:rFonts w:asciiTheme="minorHAnsi" w:hAnsiTheme="minorHAnsi" w:cs="Arial"/>
          <w:sz w:val="24"/>
          <w:szCs w:val="24"/>
        </w:rPr>
        <w:t>8</w:t>
      </w:r>
      <w:r w:rsidRPr="00976555">
        <w:rPr>
          <w:rFonts w:asciiTheme="minorHAnsi" w:hAnsiTheme="minorHAnsi" w:cs="Arial"/>
          <w:sz w:val="24"/>
          <w:szCs w:val="24"/>
        </w:rPr>
        <w:t>).</w:t>
      </w:r>
    </w:p>
    <w:p w14:paraId="5EDE3BDB" w14:textId="77777777" w:rsidR="00710AE2" w:rsidRDefault="00BC5EE4" w:rsidP="001602C0">
      <w:pPr>
        <w:autoSpaceDE w:val="0"/>
        <w:autoSpaceDN w:val="0"/>
        <w:adjustRightInd w:val="0"/>
        <w:spacing w:after="180" w:line="240" w:lineRule="auto"/>
        <w:rPr>
          <w:noProof/>
          <w:lang w:eastAsia="en-GB"/>
        </w:rPr>
      </w:pPr>
      <w:r>
        <w:rPr>
          <w:rFonts w:asciiTheme="minorHAnsi" w:hAnsiTheme="minorHAnsi" w:cs="Arial"/>
          <w:sz w:val="24"/>
          <w:szCs w:val="24"/>
        </w:rPr>
        <w:t>The</w:t>
      </w:r>
      <w:r w:rsidR="001602C0">
        <w:rPr>
          <w:rFonts w:asciiTheme="minorHAnsi" w:hAnsiTheme="minorHAnsi" w:cs="Arial"/>
          <w:sz w:val="24"/>
          <w:szCs w:val="24"/>
        </w:rPr>
        <w:t xml:space="preserve"> following charts provide a breakdown of beneficiaries by </w:t>
      </w:r>
      <w:r w:rsidR="00710AE2">
        <w:rPr>
          <w:rFonts w:asciiTheme="minorHAnsi" w:hAnsiTheme="minorHAnsi" w:cs="Arial"/>
          <w:sz w:val="24"/>
          <w:szCs w:val="24"/>
        </w:rPr>
        <w:t>gender, age</w:t>
      </w:r>
      <w:r w:rsidR="001602C0">
        <w:rPr>
          <w:rFonts w:asciiTheme="minorHAnsi" w:hAnsiTheme="minorHAnsi" w:cs="Arial"/>
          <w:sz w:val="24"/>
          <w:szCs w:val="24"/>
        </w:rPr>
        <w:t xml:space="preserve"> and country of residence as at 30 September 2018.</w:t>
      </w:r>
      <w:r w:rsidR="00710AE2" w:rsidRPr="00710AE2">
        <w:rPr>
          <w:noProof/>
          <w:lang w:eastAsia="en-GB"/>
        </w:rPr>
        <w:t xml:space="preserve"> </w:t>
      </w:r>
    </w:p>
    <w:p w14:paraId="05F3B555" w14:textId="0EAB2DE2" w:rsidR="001602C0" w:rsidRDefault="00710AE2" w:rsidP="00710AE2">
      <w:pPr>
        <w:autoSpaceDE w:val="0"/>
        <w:autoSpaceDN w:val="0"/>
        <w:adjustRightInd w:val="0"/>
        <w:spacing w:after="180" w:line="240" w:lineRule="auto"/>
        <w:jc w:val="center"/>
        <w:rPr>
          <w:rFonts w:asciiTheme="minorHAnsi" w:hAnsiTheme="minorHAnsi" w:cs="Arial"/>
          <w:sz w:val="24"/>
          <w:szCs w:val="24"/>
        </w:rPr>
      </w:pPr>
      <w:r>
        <w:rPr>
          <w:noProof/>
          <w:lang w:eastAsia="en-GB"/>
        </w:rPr>
        <w:drawing>
          <wp:inline distT="0" distB="0" distL="0" distR="0" wp14:anchorId="0AE01499" wp14:editId="4DA33867">
            <wp:extent cx="3731741" cy="1919210"/>
            <wp:effectExtent l="0" t="0" r="254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80304E" w14:textId="4E29189A" w:rsidR="001602C0" w:rsidRDefault="00AF46A7" w:rsidP="00090684">
      <w:pPr>
        <w:autoSpaceDE w:val="0"/>
        <w:autoSpaceDN w:val="0"/>
        <w:adjustRightInd w:val="0"/>
        <w:spacing w:after="180" w:line="240" w:lineRule="auto"/>
        <w:jc w:val="center"/>
        <w:rPr>
          <w:rFonts w:asciiTheme="minorHAnsi" w:hAnsiTheme="minorHAnsi" w:cs="Arial"/>
          <w:sz w:val="24"/>
          <w:szCs w:val="24"/>
        </w:rPr>
      </w:pPr>
      <w:r>
        <w:rPr>
          <w:noProof/>
          <w:lang w:eastAsia="en-GB"/>
        </w:rPr>
        <w:lastRenderedPageBreak/>
        <w:drawing>
          <wp:inline distT="0" distB="0" distL="0" distR="0" wp14:anchorId="19A1A57D" wp14:editId="7B05F9A1">
            <wp:extent cx="4572000" cy="307848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CA038A" w14:textId="31888CC1" w:rsidR="001602C0" w:rsidRDefault="001602C0" w:rsidP="001602C0">
      <w:pPr>
        <w:autoSpaceDE w:val="0"/>
        <w:autoSpaceDN w:val="0"/>
        <w:adjustRightInd w:val="0"/>
        <w:spacing w:after="180" w:line="240" w:lineRule="auto"/>
        <w:rPr>
          <w:rFonts w:asciiTheme="minorHAnsi" w:hAnsiTheme="minorHAnsi" w:cs="Arial"/>
          <w:sz w:val="24"/>
          <w:szCs w:val="24"/>
        </w:rPr>
      </w:pPr>
    </w:p>
    <w:p w14:paraId="623C0053" w14:textId="55B8B63A" w:rsidR="00AF46A7" w:rsidRDefault="00AF46A7" w:rsidP="00090684">
      <w:pPr>
        <w:spacing w:after="0" w:line="240" w:lineRule="auto"/>
        <w:jc w:val="center"/>
        <w:rPr>
          <w:rFonts w:asciiTheme="minorHAnsi" w:hAnsiTheme="minorHAnsi" w:cs="Arial"/>
          <w:sz w:val="24"/>
          <w:szCs w:val="24"/>
        </w:rPr>
      </w:pPr>
      <w:r>
        <w:rPr>
          <w:noProof/>
          <w:lang w:eastAsia="en-GB"/>
        </w:rPr>
        <w:drawing>
          <wp:inline distT="0" distB="0" distL="0" distR="0" wp14:anchorId="2A33A3D1" wp14:editId="420637C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F6B1DB" w14:textId="32B239EB" w:rsidR="001602C0" w:rsidRDefault="001602C0" w:rsidP="001602C0">
      <w:pPr>
        <w:spacing w:after="0" w:line="240" w:lineRule="auto"/>
        <w:rPr>
          <w:rFonts w:asciiTheme="minorHAnsi" w:hAnsiTheme="minorHAnsi" w:cs="Arial"/>
          <w:sz w:val="24"/>
          <w:szCs w:val="24"/>
        </w:rPr>
      </w:pPr>
    </w:p>
    <w:p w14:paraId="30979428" w14:textId="77777777" w:rsidR="00090684" w:rsidRDefault="00090684" w:rsidP="001602C0">
      <w:pPr>
        <w:spacing w:after="0" w:line="240" w:lineRule="auto"/>
        <w:rPr>
          <w:rFonts w:asciiTheme="minorHAnsi" w:hAnsiTheme="minorHAnsi" w:cs="Arial"/>
          <w:sz w:val="24"/>
          <w:szCs w:val="24"/>
        </w:rPr>
      </w:pPr>
    </w:p>
    <w:p w14:paraId="7A64C6BB" w14:textId="77777777" w:rsidR="00090684" w:rsidRDefault="00090684" w:rsidP="001602C0">
      <w:pPr>
        <w:spacing w:after="0" w:line="240" w:lineRule="auto"/>
        <w:rPr>
          <w:rFonts w:asciiTheme="minorHAnsi" w:hAnsiTheme="minorHAnsi" w:cs="Arial"/>
          <w:sz w:val="24"/>
          <w:szCs w:val="24"/>
        </w:rPr>
      </w:pPr>
    </w:p>
    <w:p w14:paraId="1540ECAE" w14:textId="77777777" w:rsidR="009B4F48" w:rsidRDefault="009B4F48" w:rsidP="001602C0">
      <w:pPr>
        <w:spacing w:after="0" w:line="240" w:lineRule="auto"/>
        <w:rPr>
          <w:rFonts w:asciiTheme="minorHAnsi" w:hAnsiTheme="minorHAnsi" w:cs="Arial"/>
          <w:sz w:val="24"/>
          <w:szCs w:val="24"/>
        </w:rPr>
      </w:pPr>
    </w:p>
    <w:p w14:paraId="468AD1A3" w14:textId="77777777" w:rsidR="001602C0" w:rsidRDefault="001602C0" w:rsidP="001602C0">
      <w:pPr>
        <w:spacing w:after="120" w:line="240" w:lineRule="atLeast"/>
        <w:rPr>
          <w:rFonts w:asciiTheme="minorHAnsi" w:hAnsiTheme="minorHAnsi" w:cs="Arial"/>
          <w:b/>
          <w:bCs/>
          <w:color w:val="442359"/>
          <w:sz w:val="24"/>
          <w:szCs w:val="24"/>
        </w:rPr>
      </w:pPr>
      <w:r w:rsidRPr="00995E43">
        <w:rPr>
          <w:rFonts w:asciiTheme="minorHAnsi" w:hAnsiTheme="minorHAnsi" w:cs="Arial"/>
          <w:b/>
          <w:bCs/>
          <w:color w:val="442359"/>
          <w:sz w:val="24"/>
          <w:szCs w:val="24"/>
        </w:rPr>
        <w:t xml:space="preserve">Risk </w:t>
      </w:r>
      <w:r>
        <w:rPr>
          <w:rFonts w:asciiTheme="minorHAnsi" w:hAnsiTheme="minorHAnsi" w:cs="Arial"/>
          <w:b/>
          <w:bCs/>
          <w:color w:val="442359"/>
          <w:sz w:val="24"/>
          <w:szCs w:val="24"/>
        </w:rPr>
        <w:t>Management</w:t>
      </w:r>
    </w:p>
    <w:p w14:paraId="569927D7" w14:textId="4EF087C9" w:rsidR="001602C0" w:rsidRPr="007A68E9" w:rsidRDefault="001602C0" w:rsidP="001602C0">
      <w:pPr>
        <w:pStyle w:val="Bodysingle"/>
        <w:spacing w:after="180"/>
        <w:rPr>
          <w:rFonts w:asciiTheme="minorHAnsi" w:hAnsiTheme="minorHAnsi" w:cs="Arial"/>
          <w:sz w:val="24"/>
          <w:szCs w:val="24"/>
        </w:rPr>
      </w:pPr>
      <w:r w:rsidRPr="00660A3F">
        <w:rPr>
          <w:rFonts w:asciiTheme="minorHAnsi" w:hAnsiTheme="minorHAnsi" w:cs="Arial"/>
          <w:sz w:val="24"/>
          <w:szCs w:val="24"/>
        </w:rPr>
        <w:t xml:space="preserve">A key role of trustees is to identify and manage risk and they discharge this duty by </w:t>
      </w:r>
      <w:r w:rsidR="00454183">
        <w:rPr>
          <w:rFonts w:asciiTheme="minorHAnsi" w:hAnsiTheme="minorHAnsi" w:cs="Arial"/>
          <w:sz w:val="24"/>
          <w:szCs w:val="24"/>
        </w:rPr>
        <w:t xml:space="preserve">means of </w:t>
      </w:r>
      <w:r w:rsidRPr="00660A3F">
        <w:rPr>
          <w:rFonts w:asciiTheme="minorHAnsi" w:hAnsiTheme="minorHAnsi" w:cs="Arial"/>
          <w:sz w:val="24"/>
          <w:szCs w:val="24"/>
        </w:rPr>
        <w:t xml:space="preserve">a </w:t>
      </w:r>
      <w:r>
        <w:rPr>
          <w:rFonts w:asciiTheme="minorHAnsi" w:hAnsiTheme="minorHAnsi" w:cs="Arial"/>
          <w:sz w:val="24"/>
          <w:szCs w:val="24"/>
        </w:rPr>
        <w:t>R</w:t>
      </w:r>
      <w:r w:rsidRPr="00660A3F">
        <w:rPr>
          <w:rFonts w:asciiTheme="minorHAnsi" w:hAnsiTheme="minorHAnsi" w:cs="Arial"/>
          <w:sz w:val="24"/>
          <w:szCs w:val="24"/>
        </w:rPr>
        <w:t xml:space="preserve">isk </w:t>
      </w:r>
      <w:r>
        <w:rPr>
          <w:rFonts w:asciiTheme="minorHAnsi" w:hAnsiTheme="minorHAnsi" w:cs="Arial"/>
          <w:sz w:val="24"/>
          <w:szCs w:val="24"/>
        </w:rPr>
        <w:t>R</w:t>
      </w:r>
      <w:r w:rsidRPr="00660A3F">
        <w:rPr>
          <w:rFonts w:asciiTheme="minorHAnsi" w:hAnsiTheme="minorHAnsi" w:cs="Arial"/>
          <w:sz w:val="24"/>
          <w:szCs w:val="24"/>
        </w:rPr>
        <w:t xml:space="preserve">egister.  </w:t>
      </w:r>
      <w:r w:rsidR="00454183" w:rsidRPr="007A68E9">
        <w:rPr>
          <w:rFonts w:asciiTheme="minorHAnsi" w:hAnsiTheme="minorHAnsi" w:cs="Arial"/>
          <w:sz w:val="24"/>
          <w:szCs w:val="24"/>
        </w:rPr>
        <w:t xml:space="preserve">The full Risk Register is reviewed by trustees annually.  </w:t>
      </w:r>
      <w:r w:rsidR="00DA60E2" w:rsidRPr="007A68E9">
        <w:rPr>
          <w:rFonts w:asciiTheme="minorHAnsi" w:hAnsiTheme="minorHAnsi" w:cs="Arial"/>
          <w:sz w:val="24"/>
          <w:szCs w:val="24"/>
        </w:rPr>
        <w:t xml:space="preserve">The most </w:t>
      </w:r>
      <w:r w:rsidR="00454183" w:rsidRPr="007A68E9">
        <w:rPr>
          <w:rFonts w:asciiTheme="minorHAnsi" w:hAnsiTheme="minorHAnsi" w:cs="Arial"/>
          <w:sz w:val="24"/>
          <w:szCs w:val="24"/>
        </w:rPr>
        <w:t>significant risks are reviewed by Finance Committee on a quarterly basis.</w:t>
      </w:r>
      <w:r w:rsidR="00DA60E2" w:rsidRPr="007A68E9">
        <w:rPr>
          <w:rFonts w:asciiTheme="minorHAnsi" w:hAnsiTheme="minorHAnsi" w:cs="Arial"/>
          <w:sz w:val="24"/>
          <w:szCs w:val="24"/>
        </w:rPr>
        <w:t xml:space="preserve">  This year, the trustees have satisfied themselves that adequate systems and procedures are in place to manage all of the identified risks.</w:t>
      </w:r>
    </w:p>
    <w:p w14:paraId="552955B0" w14:textId="7C960102" w:rsidR="001602C0" w:rsidRPr="007A68E9" w:rsidRDefault="001602C0" w:rsidP="00983373">
      <w:pPr>
        <w:pStyle w:val="Bodysingle"/>
        <w:spacing w:after="180"/>
        <w:rPr>
          <w:rFonts w:asciiTheme="minorHAnsi" w:hAnsiTheme="minorHAnsi" w:cs="Arial"/>
          <w:sz w:val="24"/>
          <w:szCs w:val="24"/>
        </w:rPr>
      </w:pPr>
      <w:r w:rsidRPr="007A68E9">
        <w:rPr>
          <w:rFonts w:asciiTheme="minorHAnsi" w:hAnsiTheme="minorHAnsi" w:cs="Arial"/>
          <w:sz w:val="24"/>
          <w:szCs w:val="24"/>
        </w:rPr>
        <w:t xml:space="preserve">The </w:t>
      </w:r>
      <w:r w:rsidR="00E315C1" w:rsidRPr="007A68E9">
        <w:rPr>
          <w:rFonts w:asciiTheme="minorHAnsi" w:hAnsiTheme="minorHAnsi" w:cs="Arial"/>
          <w:sz w:val="24"/>
          <w:szCs w:val="24"/>
        </w:rPr>
        <w:t xml:space="preserve">principal risks and uncertainties </w:t>
      </w:r>
      <w:r w:rsidRPr="007A68E9">
        <w:rPr>
          <w:rFonts w:asciiTheme="minorHAnsi" w:hAnsiTheme="minorHAnsi" w:cs="Arial"/>
          <w:sz w:val="24"/>
          <w:szCs w:val="24"/>
        </w:rPr>
        <w:t xml:space="preserve">identified by trustees in their 2018 risk review </w:t>
      </w:r>
      <w:r w:rsidR="00DA60E2" w:rsidRPr="007A68E9">
        <w:rPr>
          <w:rFonts w:asciiTheme="minorHAnsi" w:hAnsiTheme="minorHAnsi" w:cs="Arial"/>
          <w:sz w:val="24"/>
          <w:szCs w:val="24"/>
        </w:rPr>
        <w:t>were</w:t>
      </w:r>
      <w:r w:rsidRPr="007A68E9">
        <w:rPr>
          <w:rFonts w:asciiTheme="minorHAnsi" w:hAnsiTheme="minorHAnsi" w:cs="Arial"/>
          <w:sz w:val="24"/>
          <w:szCs w:val="24"/>
        </w:rPr>
        <w:t xml:space="preserve"> the security of future funding and </w:t>
      </w:r>
      <w:r w:rsidR="00997759" w:rsidRPr="007A68E9">
        <w:rPr>
          <w:rFonts w:asciiTheme="minorHAnsi" w:hAnsiTheme="minorHAnsi" w:cs="Arial"/>
          <w:sz w:val="24"/>
          <w:szCs w:val="24"/>
        </w:rPr>
        <w:t xml:space="preserve">of the Trust’s </w:t>
      </w:r>
      <w:r w:rsidRPr="007A68E9">
        <w:rPr>
          <w:rFonts w:asciiTheme="minorHAnsi" w:hAnsiTheme="minorHAnsi" w:cs="Arial"/>
          <w:sz w:val="24"/>
          <w:szCs w:val="24"/>
        </w:rPr>
        <w:t xml:space="preserve">IT </w:t>
      </w:r>
      <w:r w:rsidRPr="007A68E9">
        <w:rPr>
          <w:rFonts w:ascii="Calibri" w:hAnsi="Calibri" w:cs="Arial"/>
          <w:sz w:val="24"/>
          <w:szCs w:val="24"/>
        </w:rPr>
        <w:t>systems (including the risk of data security breaches or potential fraud, theft of funds and breach of beneficiary confidentiality). The issue of safeguarding</w:t>
      </w:r>
      <w:r w:rsidR="00DA60E2" w:rsidRPr="007A68E9">
        <w:rPr>
          <w:rFonts w:ascii="Calibri" w:hAnsi="Calibri" w:cs="Arial"/>
          <w:sz w:val="24"/>
          <w:szCs w:val="24"/>
        </w:rPr>
        <w:t xml:space="preserve"> beneficiaries emerged from </w:t>
      </w:r>
      <w:r w:rsidR="003243AE" w:rsidRPr="007A68E9">
        <w:rPr>
          <w:rFonts w:ascii="Calibri" w:hAnsi="Calibri" w:cs="Arial"/>
          <w:sz w:val="24"/>
          <w:szCs w:val="24"/>
        </w:rPr>
        <w:t xml:space="preserve">the </w:t>
      </w:r>
      <w:r w:rsidR="00DA60E2" w:rsidRPr="007A68E9">
        <w:rPr>
          <w:rFonts w:ascii="Calibri" w:hAnsi="Calibri" w:cs="Arial"/>
          <w:sz w:val="24"/>
          <w:szCs w:val="24"/>
        </w:rPr>
        <w:t xml:space="preserve">regular </w:t>
      </w:r>
      <w:r w:rsidR="003243AE" w:rsidRPr="007A68E9">
        <w:rPr>
          <w:rFonts w:ascii="Calibri" w:hAnsi="Calibri" w:cs="Arial"/>
          <w:sz w:val="24"/>
          <w:szCs w:val="24"/>
        </w:rPr>
        <w:t xml:space="preserve">holistic </w:t>
      </w:r>
      <w:r w:rsidR="00DA60E2" w:rsidRPr="007A68E9">
        <w:rPr>
          <w:rFonts w:ascii="Calibri" w:hAnsi="Calibri" w:cs="Arial"/>
          <w:sz w:val="24"/>
          <w:szCs w:val="24"/>
        </w:rPr>
        <w:t>needs assessments</w:t>
      </w:r>
      <w:r w:rsidRPr="007A68E9">
        <w:rPr>
          <w:rFonts w:ascii="Calibri" w:hAnsi="Calibri" w:cs="Arial"/>
          <w:sz w:val="24"/>
          <w:szCs w:val="24"/>
        </w:rPr>
        <w:t xml:space="preserve"> </w:t>
      </w:r>
      <w:r w:rsidR="003243AE" w:rsidRPr="007A68E9">
        <w:rPr>
          <w:rFonts w:ascii="Calibri" w:hAnsi="Calibri" w:cs="Arial"/>
          <w:sz w:val="24"/>
          <w:szCs w:val="24"/>
        </w:rPr>
        <w:t>(HNAs)</w:t>
      </w:r>
      <w:r w:rsidR="00EC53C2" w:rsidRPr="007A68E9">
        <w:rPr>
          <w:rFonts w:ascii="Calibri" w:hAnsi="Calibri" w:cs="Arial"/>
          <w:sz w:val="24"/>
          <w:szCs w:val="24"/>
        </w:rPr>
        <w:t xml:space="preserve"> </w:t>
      </w:r>
      <w:r w:rsidRPr="007A68E9">
        <w:rPr>
          <w:rFonts w:ascii="Calibri" w:hAnsi="Calibri" w:cs="Arial"/>
          <w:sz w:val="24"/>
          <w:szCs w:val="24"/>
        </w:rPr>
        <w:t xml:space="preserve">as an important issue and was the focus of the Trustee </w:t>
      </w:r>
      <w:proofErr w:type="spellStart"/>
      <w:r w:rsidRPr="007A68E9">
        <w:rPr>
          <w:rFonts w:ascii="Calibri" w:hAnsi="Calibri" w:cs="Arial"/>
          <w:sz w:val="24"/>
          <w:szCs w:val="24"/>
        </w:rPr>
        <w:t>Awayday</w:t>
      </w:r>
      <w:proofErr w:type="spellEnd"/>
      <w:r w:rsidRPr="007A68E9">
        <w:rPr>
          <w:rFonts w:ascii="Calibri" w:hAnsi="Calibri" w:cs="Arial"/>
          <w:sz w:val="24"/>
          <w:szCs w:val="24"/>
        </w:rPr>
        <w:t xml:space="preserve"> in 201</w:t>
      </w:r>
      <w:r w:rsidR="00DA60E2" w:rsidRPr="007A68E9">
        <w:rPr>
          <w:rFonts w:ascii="Calibri" w:hAnsi="Calibri" w:cs="Arial"/>
          <w:sz w:val="24"/>
          <w:szCs w:val="24"/>
        </w:rPr>
        <w:t>8</w:t>
      </w:r>
      <w:r w:rsidRPr="007A68E9">
        <w:rPr>
          <w:rFonts w:ascii="Calibri" w:hAnsi="Calibri" w:cs="Arial"/>
          <w:sz w:val="24"/>
          <w:szCs w:val="24"/>
        </w:rPr>
        <w:t>.</w:t>
      </w:r>
    </w:p>
    <w:p w14:paraId="7B42D0D0" w14:textId="21B1A583" w:rsidR="008B5D37" w:rsidRPr="007A68E9" w:rsidRDefault="001602C0" w:rsidP="001602C0">
      <w:pPr>
        <w:autoSpaceDE w:val="0"/>
        <w:autoSpaceDN w:val="0"/>
        <w:adjustRightInd w:val="0"/>
        <w:spacing w:after="240" w:line="240" w:lineRule="auto"/>
        <w:rPr>
          <w:rFonts w:asciiTheme="minorHAnsi" w:hAnsiTheme="minorHAnsi" w:cs="Arial"/>
          <w:sz w:val="24"/>
          <w:szCs w:val="24"/>
        </w:rPr>
      </w:pPr>
      <w:r w:rsidRPr="007A68E9">
        <w:rPr>
          <w:rFonts w:asciiTheme="minorHAnsi" w:hAnsiTheme="minorHAnsi" w:cs="Arial"/>
          <w:sz w:val="24"/>
          <w:szCs w:val="24"/>
        </w:rPr>
        <w:t xml:space="preserve">Clear plans have been </w:t>
      </w:r>
      <w:r w:rsidR="00DA60E2" w:rsidRPr="007A68E9">
        <w:rPr>
          <w:rFonts w:asciiTheme="minorHAnsi" w:hAnsiTheme="minorHAnsi" w:cs="Arial"/>
          <w:sz w:val="24"/>
          <w:szCs w:val="24"/>
        </w:rPr>
        <w:t xml:space="preserve">put in place </w:t>
      </w:r>
      <w:r w:rsidRPr="007A68E9">
        <w:rPr>
          <w:rFonts w:asciiTheme="minorHAnsi" w:hAnsiTheme="minorHAnsi" w:cs="Arial"/>
          <w:sz w:val="24"/>
          <w:szCs w:val="24"/>
        </w:rPr>
        <w:t>to mitigate these</w:t>
      </w:r>
      <w:r w:rsidR="008B5D37" w:rsidRPr="007A68E9">
        <w:rPr>
          <w:rFonts w:asciiTheme="minorHAnsi" w:hAnsiTheme="minorHAnsi" w:cs="Arial"/>
          <w:sz w:val="24"/>
          <w:szCs w:val="24"/>
        </w:rPr>
        <w:t xml:space="preserve"> significant</w:t>
      </w:r>
      <w:r w:rsidR="00DA60E2" w:rsidRPr="007A68E9">
        <w:rPr>
          <w:rFonts w:asciiTheme="minorHAnsi" w:hAnsiTheme="minorHAnsi" w:cs="Arial"/>
          <w:sz w:val="24"/>
          <w:szCs w:val="24"/>
        </w:rPr>
        <w:t xml:space="preserve"> risks</w:t>
      </w:r>
      <w:r w:rsidRPr="007A68E9">
        <w:rPr>
          <w:rFonts w:asciiTheme="minorHAnsi" w:hAnsiTheme="minorHAnsi" w:cs="Arial"/>
          <w:sz w:val="24"/>
          <w:szCs w:val="24"/>
        </w:rPr>
        <w:t xml:space="preserve"> as far as possible. </w:t>
      </w:r>
    </w:p>
    <w:p w14:paraId="527ACCF0" w14:textId="77777777" w:rsidR="008B5D37" w:rsidRPr="007A68E9" w:rsidRDefault="008B5D37" w:rsidP="00983373">
      <w:pPr>
        <w:autoSpaceDE w:val="0"/>
        <w:autoSpaceDN w:val="0"/>
        <w:adjustRightInd w:val="0"/>
        <w:spacing w:after="180" w:line="240" w:lineRule="auto"/>
        <w:rPr>
          <w:rFonts w:asciiTheme="minorHAnsi" w:hAnsiTheme="minorHAnsi" w:cs="Arial"/>
          <w:sz w:val="24"/>
          <w:szCs w:val="24"/>
        </w:rPr>
      </w:pPr>
      <w:r w:rsidRPr="007A68E9">
        <w:rPr>
          <w:rFonts w:asciiTheme="minorHAnsi" w:hAnsiTheme="minorHAnsi" w:cs="Arial"/>
          <w:sz w:val="24"/>
          <w:szCs w:val="24"/>
        </w:rPr>
        <w:lastRenderedPageBreak/>
        <w:t>We have continued to gather robust evidence on the evolving and increasing needs of our beneficiaries and to share this with our funders, together with information on how their funding is improving beneficiaries’ quality of life. In addition, our new Covenant with Diageo includes measures to provide greater security of future funding for our beneficiaries.</w:t>
      </w:r>
    </w:p>
    <w:p w14:paraId="4F01CEC9" w14:textId="791F4730" w:rsidR="008B5D37" w:rsidRPr="007A68E9" w:rsidRDefault="001602C0" w:rsidP="00983373">
      <w:pPr>
        <w:autoSpaceDE w:val="0"/>
        <w:autoSpaceDN w:val="0"/>
        <w:adjustRightInd w:val="0"/>
        <w:spacing w:after="180" w:line="240" w:lineRule="auto"/>
        <w:rPr>
          <w:rFonts w:asciiTheme="minorHAnsi" w:hAnsiTheme="minorHAnsi" w:cs="Arial"/>
          <w:sz w:val="24"/>
          <w:szCs w:val="24"/>
        </w:rPr>
      </w:pPr>
      <w:r w:rsidRPr="007A68E9">
        <w:rPr>
          <w:rFonts w:asciiTheme="minorHAnsi" w:hAnsiTheme="minorHAnsi" w:cs="Arial"/>
          <w:sz w:val="24"/>
          <w:szCs w:val="24"/>
        </w:rPr>
        <w:t>I</w:t>
      </w:r>
      <w:r w:rsidR="00EC53C2" w:rsidRPr="007A68E9">
        <w:rPr>
          <w:rFonts w:asciiTheme="minorHAnsi" w:hAnsiTheme="minorHAnsi" w:cs="Arial"/>
          <w:sz w:val="24"/>
          <w:szCs w:val="24"/>
        </w:rPr>
        <w:t xml:space="preserve">n the last 12 months all staff </w:t>
      </w:r>
      <w:r w:rsidRPr="007A68E9">
        <w:rPr>
          <w:rFonts w:asciiTheme="minorHAnsi" w:hAnsiTheme="minorHAnsi" w:cs="Arial"/>
          <w:sz w:val="24"/>
          <w:szCs w:val="24"/>
        </w:rPr>
        <w:t>received cyber-security training</w:t>
      </w:r>
      <w:r w:rsidR="008B5D37" w:rsidRPr="007A68E9">
        <w:rPr>
          <w:rFonts w:asciiTheme="minorHAnsi" w:hAnsiTheme="minorHAnsi" w:cs="Arial"/>
          <w:sz w:val="24"/>
          <w:szCs w:val="24"/>
        </w:rPr>
        <w:t>.  The Trust</w:t>
      </w:r>
      <w:r w:rsidRPr="007A68E9">
        <w:rPr>
          <w:rFonts w:asciiTheme="minorHAnsi" w:hAnsiTheme="minorHAnsi" w:cs="Arial"/>
          <w:sz w:val="24"/>
          <w:szCs w:val="24"/>
        </w:rPr>
        <w:t xml:space="preserve"> commissioned an independent IT security review and </w:t>
      </w:r>
      <w:r w:rsidR="008B5D37" w:rsidRPr="007A68E9">
        <w:rPr>
          <w:rFonts w:asciiTheme="minorHAnsi" w:hAnsiTheme="minorHAnsi" w:cs="Arial"/>
          <w:sz w:val="24"/>
          <w:szCs w:val="24"/>
        </w:rPr>
        <w:t xml:space="preserve">staff </w:t>
      </w:r>
      <w:r w:rsidRPr="007A68E9">
        <w:rPr>
          <w:rFonts w:asciiTheme="minorHAnsi" w:hAnsiTheme="minorHAnsi" w:cs="Arial"/>
          <w:sz w:val="24"/>
          <w:szCs w:val="24"/>
        </w:rPr>
        <w:t xml:space="preserve">are in the process of implementing the recommendations arising from </w:t>
      </w:r>
      <w:r w:rsidR="008B5D37" w:rsidRPr="007A68E9">
        <w:rPr>
          <w:rFonts w:asciiTheme="minorHAnsi" w:hAnsiTheme="minorHAnsi" w:cs="Arial"/>
          <w:sz w:val="24"/>
          <w:szCs w:val="24"/>
        </w:rPr>
        <w:t>it</w:t>
      </w:r>
      <w:r w:rsidRPr="007A68E9">
        <w:rPr>
          <w:rFonts w:asciiTheme="minorHAnsi" w:hAnsiTheme="minorHAnsi" w:cs="Arial"/>
          <w:sz w:val="24"/>
          <w:szCs w:val="24"/>
        </w:rPr>
        <w:t xml:space="preserve">.  </w:t>
      </w:r>
    </w:p>
    <w:p w14:paraId="2DC91ED3" w14:textId="5E528351" w:rsidR="001602C0" w:rsidRPr="007A68E9" w:rsidRDefault="001602C0" w:rsidP="001602C0">
      <w:pPr>
        <w:autoSpaceDE w:val="0"/>
        <w:autoSpaceDN w:val="0"/>
        <w:adjustRightInd w:val="0"/>
        <w:spacing w:after="240" w:line="240" w:lineRule="auto"/>
        <w:rPr>
          <w:rFonts w:asciiTheme="minorHAnsi" w:hAnsiTheme="minorHAnsi" w:cs="Arial"/>
          <w:sz w:val="24"/>
          <w:szCs w:val="24"/>
        </w:rPr>
      </w:pPr>
      <w:r w:rsidRPr="007A68E9">
        <w:rPr>
          <w:rFonts w:asciiTheme="minorHAnsi" w:hAnsiTheme="minorHAnsi" w:cs="Arial"/>
          <w:sz w:val="24"/>
          <w:szCs w:val="24"/>
        </w:rPr>
        <w:t xml:space="preserve">We have updated our Safeguarding Policy and undertaken safeguarding </w:t>
      </w:r>
      <w:r w:rsidR="006529AD" w:rsidRPr="007A68E9">
        <w:rPr>
          <w:rFonts w:asciiTheme="minorHAnsi" w:hAnsiTheme="minorHAnsi" w:cs="Arial"/>
          <w:sz w:val="24"/>
          <w:szCs w:val="24"/>
        </w:rPr>
        <w:t xml:space="preserve">training </w:t>
      </w:r>
      <w:r w:rsidRPr="007A68E9">
        <w:rPr>
          <w:rFonts w:asciiTheme="minorHAnsi" w:hAnsiTheme="minorHAnsi" w:cs="Arial"/>
          <w:sz w:val="24"/>
          <w:szCs w:val="24"/>
        </w:rPr>
        <w:t>for all staff.</w:t>
      </w:r>
      <w:r w:rsidR="00C15E3E" w:rsidRPr="007A68E9">
        <w:rPr>
          <w:rFonts w:asciiTheme="minorHAnsi" w:hAnsiTheme="minorHAnsi" w:cs="Arial"/>
          <w:sz w:val="24"/>
          <w:szCs w:val="24"/>
        </w:rPr>
        <w:t xml:space="preserve"> </w:t>
      </w:r>
    </w:p>
    <w:p w14:paraId="17B04EFC" w14:textId="77777777" w:rsidR="001602C0" w:rsidRPr="00C15E3E" w:rsidRDefault="001602C0" w:rsidP="00C15E3E">
      <w:pPr>
        <w:spacing w:after="120" w:line="240" w:lineRule="atLeast"/>
        <w:rPr>
          <w:rFonts w:asciiTheme="minorHAnsi" w:hAnsiTheme="minorHAnsi" w:cs="Arial"/>
          <w:b/>
          <w:bCs/>
          <w:color w:val="442359"/>
          <w:sz w:val="28"/>
          <w:szCs w:val="28"/>
          <w:u w:val="single"/>
        </w:rPr>
      </w:pPr>
      <w:r w:rsidRPr="00C15E3E">
        <w:rPr>
          <w:rFonts w:asciiTheme="minorHAnsi" w:hAnsiTheme="minorHAnsi" w:cs="Arial"/>
          <w:b/>
          <w:bCs/>
          <w:color w:val="442359"/>
          <w:sz w:val="28"/>
          <w:szCs w:val="28"/>
          <w:u w:val="single"/>
        </w:rPr>
        <w:t>Achievements and performance</w:t>
      </w:r>
    </w:p>
    <w:p w14:paraId="61D2D437" w14:textId="77777777" w:rsidR="001602C0" w:rsidRDefault="001602C0" w:rsidP="00983373">
      <w:pPr>
        <w:spacing w:after="180" w:line="240" w:lineRule="auto"/>
        <w:rPr>
          <w:rFonts w:asciiTheme="minorHAnsi" w:hAnsiTheme="minorHAnsi" w:cs="Arial"/>
          <w:bCs/>
          <w:sz w:val="24"/>
          <w:szCs w:val="24"/>
        </w:rPr>
      </w:pPr>
      <w:r w:rsidRPr="000B1BFB">
        <w:rPr>
          <w:rFonts w:asciiTheme="minorHAnsi" w:hAnsiTheme="minorHAnsi" w:cs="Arial"/>
          <w:bCs/>
          <w:sz w:val="24"/>
          <w:szCs w:val="24"/>
        </w:rPr>
        <w:t xml:space="preserve">Last year we </w:t>
      </w:r>
      <w:r>
        <w:rPr>
          <w:rFonts w:asciiTheme="minorHAnsi" w:hAnsiTheme="minorHAnsi" w:cs="Arial"/>
          <w:bCs/>
          <w:sz w:val="24"/>
          <w:szCs w:val="24"/>
        </w:rPr>
        <w:t>identified a number of ambitious goals for 2017/18.  These are set out below together with an overview of how we have taken these forward over the last 12 months:</w:t>
      </w:r>
    </w:p>
    <w:tbl>
      <w:tblPr>
        <w:tblStyle w:val="TableGrid"/>
        <w:tblW w:w="0" w:type="auto"/>
        <w:tblLook w:val="04A0" w:firstRow="1" w:lastRow="0" w:firstColumn="1" w:lastColumn="0" w:noHBand="0" w:noVBand="1"/>
      </w:tblPr>
      <w:tblGrid>
        <w:gridCol w:w="4459"/>
        <w:gridCol w:w="4460"/>
      </w:tblGrid>
      <w:tr w:rsidR="001602C0" w14:paraId="70080041" w14:textId="77777777" w:rsidTr="00BC5EE4">
        <w:tc>
          <w:tcPr>
            <w:tcW w:w="4459" w:type="dxa"/>
          </w:tcPr>
          <w:p w14:paraId="7024246F" w14:textId="77777777" w:rsidR="001602C0" w:rsidRPr="00B5056B" w:rsidRDefault="001602C0" w:rsidP="00BC5EE4">
            <w:pPr>
              <w:spacing w:after="120" w:line="240" w:lineRule="auto"/>
              <w:rPr>
                <w:rFonts w:asciiTheme="minorHAnsi" w:hAnsiTheme="minorHAnsi" w:cs="Arial"/>
                <w:b/>
                <w:bCs/>
                <w:sz w:val="28"/>
                <w:szCs w:val="28"/>
              </w:rPr>
            </w:pPr>
            <w:r w:rsidRPr="00B5056B">
              <w:rPr>
                <w:rFonts w:asciiTheme="minorHAnsi" w:hAnsiTheme="minorHAnsi" w:cs="Arial"/>
                <w:b/>
                <w:bCs/>
                <w:sz w:val="28"/>
                <w:szCs w:val="28"/>
              </w:rPr>
              <w:t>We said we would…</w:t>
            </w:r>
          </w:p>
        </w:tc>
        <w:tc>
          <w:tcPr>
            <w:tcW w:w="4460" w:type="dxa"/>
          </w:tcPr>
          <w:p w14:paraId="3596AA17" w14:textId="77777777" w:rsidR="001602C0" w:rsidRPr="00B5056B" w:rsidRDefault="001602C0" w:rsidP="00BC5EE4">
            <w:pPr>
              <w:spacing w:after="120" w:line="240" w:lineRule="auto"/>
              <w:rPr>
                <w:rFonts w:asciiTheme="minorHAnsi" w:hAnsiTheme="minorHAnsi" w:cs="Arial"/>
                <w:b/>
                <w:bCs/>
                <w:sz w:val="28"/>
                <w:szCs w:val="28"/>
              </w:rPr>
            </w:pPr>
            <w:r w:rsidRPr="00B5056B">
              <w:rPr>
                <w:rFonts w:asciiTheme="minorHAnsi" w:hAnsiTheme="minorHAnsi" w:cs="Arial"/>
                <w:b/>
                <w:bCs/>
                <w:sz w:val="28"/>
                <w:szCs w:val="28"/>
              </w:rPr>
              <w:t>We have …</w:t>
            </w:r>
          </w:p>
        </w:tc>
      </w:tr>
      <w:tr w:rsidR="001602C0" w14:paraId="77304CEF" w14:textId="77777777" w:rsidTr="00BC5EE4">
        <w:trPr>
          <w:trHeight w:val="724"/>
        </w:trPr>
        <w:tc>
          <w:tcPr>
            <w:tcW w:w="4459" w:type="dxa"/>
          </w:tcPr>
          <w:p w14:paraId="7DFEBDE3" w14:textId="62C394FE" w:rsidR="001602C0" w:rsidRDefault="006529AD" w:rsidP="00BC5EE4">
            <w:pPr>
              <w:spacing w:after="120" w:line="240" w:lineRule="auto"/>
              <w:rPr>
                <w:rFonts w:asciiTheme="minorHAnsi" w:hAnsiTheme="minorHAnsi" w:cs="Arial"/>
                <w:bCs/>
                <w:sz w:val="24"/>
                <w:szCs w:val="24"/>
              </w:rPr>
            </w:pPr>
            <w:r>
              <w:rPr>
                <w:rFonts w:asciiTheme="minorHAnsi" w:hAnsiTheme="minorHAnsi" w:cs="Arial"/>
                <w:bCs/>
                <w:sz w:val="24"/>
                <w:szCs w:val="24"/>
              </w:rPr>
              <w:t>i</w:t>
            </w:r>
            <w:r w:rsidR="001602C0" w:rsidRPr="00236281">
              <w:rPr>
                <w:rFonts w:asciiTheme="minorHAnsi" w:hAnsiTheme="minorHAnsi" w:cs="Arial"/>
                <w:bCs/>
                <w:sz w:val="24"/>
                <w:szCs w:val="24"/>
              </w:rPr>
              <w:t>ntroduce a new peer befriending service for our beneficiaries.</w:t>
            </w:r>
          </w:p>
        </w:tc>
        <w:tc>
          <w:tcPr>
            <w:tcW w:w="4460" w:type="dxa"/>
          </w:tcPr>
          <w:p w14:paraId="30C7AC78" w14:textId="60F37F30" w:rsidR="001602C0" w:rsidRPr="007A68E9" w:rsidRDefault="006529AD" w:rsidP="0014031C">
            <w:pPr>
              <w:spacing w:after="120" w:line="240" w:lineRule="auto"/>
              <w:rPr>
                <w:rFonts w:asciiTheme="minorHAnsi" w:hAnsiTheme="minorHAnsi" w:cs="Arial"/>
                <w:bCs/>
                <w:sz w:val="24"/>
                <w:szCs w:val="24"/>
              </w:rPr>
            </w:pPr>
            <w:r w:rsidRPr="007A68E9">
              <w:rPr>
                <w:rFonts w:asciiTheme="minorHAnsi" w:hAnsiTheme="minorHAnsi" w:cs="Arial"/>
                <w:sz w:val="24"/>
                <w:szCs w:val="24"/>
              </w:rPr>
              <w:t>d</w:t>
            </w:r>
            <w:r w:rsidR="001602C0" w:rsidRPr="007A68E9">
              <w:rPr>
                <w:rFonts w:asciiTheme="minorHAnsi" w:hAnsiTheme="minorHAnsi" w:cs="Arial"/>
                <w:sz w:val="24"/>
                <w:szCs w:val="24"/>
              </w:rPr>
              <w:t xml:space="preserve">eveloped a new TalkTogether telephone support service which went live in August 2018 and has received positive feedback from both </w:t>
            </w:r>
            <w:r w:rsidR="00997759" w:rsidRPr="007A68E9">
              <w:rPr>
                <w:rFonts w:asciiTheme="minorHAnsi" w:hAnsiTheme="minorHAnsi" w:cs="Arial"/>
                <w:sz w:val="24"/>
                <w:szCs w:val="24"/>
              </w:rPr>
              <w:t xml:space="preserve">the </w:t>
            </w:r>
            <w:r w:rsidR="001602C0" w:rsidRPr="007A68E9">
              <w:rPr>
                <w:rFonts w:asciiTheme="minorHAnsi" w:hAnsiTheme="minorHAnsi" w:cs="Arial"/>
                <w:sz w:val="24"/>
                <w:szCs w:val="24"/>
              </w:rPr>
              <w:t xml:space="preserve">service-users and </w:t>
            </w:r>
            <w:r w:rsidR="00997759" w:rsidRPr="007A68E9">
              <w:rPr>
                <w:rFonts w:asciiTheme="minorHAnsi" w:hAnsiTheme="minorHAnsi" w:cs="Arial"/>
                <w:sz w:val="24"/>
                <w:szCs w:val="24"/>
              </w:rPr>
              <w:t xml:space="preserve">from the </w:t>
            </w:r>
            <w:r w:rsidR="001602C0" w:rsidRPr="007A68E9">
              <w:rPr>
                <w:rFonts w:asciiTheme="minorHAnsi" w:hAnsiTheme="minorHAnsi" w:cs="Arial"/>
                <w:sz w:val="24"/>
                <w:szCs w:val="24"/>
              </w:rPr>
              <w:t xml:space="preserve">beneficiaries </w:t>
            </w:r>
            <w:r w:rsidR="00997759" w:rsidRPr="007A68E9">
              <w:rPr>
                <w:rFonts w:asciiTheme="minorHAnsi" w:hAnsiTheme="minorHAnsi" w:cs="Arial"/>
                <w:sz w:val="24"/>
                <w:szCs w:val="24"/>
              </w:rPr>
              <w:t xml:space="preserve">who </w:t>
            </w:r>
            <w:r w:rsidR="001602C0" w:rsidRPr="007A68E9">
              <w:rPr>
                <w:rFonts w:asciiTheme="minorHAnsi" w:hAnsiTheme="minorHAnsi" w:cs="Arial"/>
                <w:sz w:val="24"/>
                <w:szCs w:val="24"/>
              </w:rPr>
              <w:t>provid</w:t>
            </w:r>
            <w:r w:rsidR="00997759" w:rsidRPr="007A68E9">
              <w:rPr>
                <w:rFonts w:asciiTheme="minorHAnsi" w:hAnsiTheme="minorHAnsi" w:cs="Arial"/>
                <w:sz w:val="24"/>
                <w:szCs w:val="24"/>
              </w:rPr>
              <w:t>e</w:t>
            </w:r>
            <w:r w:rsidR="001602C0" w:rsidRPr="007A68E9">
              <w:rPr>
                <w:rFonts w:asciiTheme="minorHAnsi" w:hAnsiTheme="minorHAnsi" w:cs="Arial"/>
                <w:sz w:val="24"/>
                <w:szCs w:val="24"/>
              </w:rPr>
              <w:t xml:space="preserve"> peer support.</w:t>
            </w:r>
          </w:p>
        </w:tc>
      </w:tr>
      <w:tr w:rsidR="001602C0" w14:paraId="765D7E57" w14:textId="77777777" w:rsidTr="00BC5EE4">
        <w:tc>
          <w:tcPr>
            <w:tcW w:w="4459" w:type="dxa"/>
          </w:tcPr>
          <w:p w14:paraId="130468C2" w14:textId="6A91D880" w:rsidR="001602C0" w:rsidRDefault="006529AD" w:rsidP="00BC5EE4">
            <w:pPr>
              <w:spacing w:after="120" w:line="240" w:lineRule="auto"/>
            </w:pPr>
            <w:r>
              <w:rPr>
                <w:rFonts w:asciiTheme="minorHAnsi" w:hAnsiTheme="minorHAnsi" w:cs="Arial"/>
                <w:bCs/>
                <w:sz w:val="24"/>
                <w:szCs w:val="24"/>
              </w:rPr>
              <w:t>f</w:t>
            </w:r>
            <w:r w:rsidR="001602C0" w:rsidRPr="00236281">
              <w:rPr>
                <w:rFonts w:asciiTheme="minorHAnsi" w:hAnsiTheme="minorHAnsi" w:cs="Arial"/>
                <w:bCs/>
                <w:sz w:val="24"/>
                <w:szCs w:val="24"/>
              </w:rPr>
              <w:t>urther increase the resources available to beneficiaries – including producing a simple guide on getting the best out of the health service and a comprehensive guide to understanding and accessing social care.</w:t>
            </w:r>
          </w:p>
        </w:tc>
        <w:tc>
          <w:tcPr>
            <w:tcW w:w="4460" w:type="dxa"/>
          </w:tcPr>
          <w:p w14:paraId="2B339EBD" w14:textId="5B8D4B7A" w:rsidR="001602C0" w:rsidRPr="007A68E9" w:rsidRDefault="006529AD" w:rsidP="0014031C">
            <w:pPr>
              <w:spacing w:after="120" w:line="240" w:lineRule="auto"/>
              <w:rPr>
                <w:rFonts w:asciiTheme="minorHAnsi" w:hAnsiTheme="minorHAnsi" w:cs="Arial"/>
                <w:bCs/>
                <w:sz w:val="24"/>
                <w:szCs w:val="24"/>
              </w:rPr>
            </w:pPr>
            <w:r w:rsidRPr="007A68E9">
              <w:rPr>
                <w:rFonts w:asciiTheme="minorHAnsi" w:hAnsiTheme="minorHAnsi" w:cs="Arial"/>
                <w:bCs/>
                <w:sz w:val="24"/>
                <w:szCs w:val="24"/>
              </w:rPr>
              <w:t>i</w:t>
            </w:r>
            <w:r w:rsidR="001602C0" w:rsidRPr="007A68E9">
              <w:rPr>
                <w:rFonts w:asciiTheme="minorHAnsi" w:hAnsiTheme="minorHAnsi" w:cs="Arial"/>
                <w:bCs/>
                <w:sz w:val="24"/>
                <w:szCs w:val="24"/>
              </w:rPr>
              <w:t xml:space="preserve">ntroduced a range of new </w:t>
            </w:r>
            <w:r w:rsidR="00997759" w:rsidRPr="007A68E9">
              <w:rPr>
                <w:rFonts w:asciiTheme="minorHAnsi" w:hAnsiTheme="minorHAnsi" w:cs="Arial"/>
                <w:bCs/>
                <w:sz w:val="24"/>
                <w:szCs w:val="24"/>
              </w:rPr>
              <w:t xml:space="preserve">information </w:t>
            </w:r>
            <w:r w:rsidR="001602C0" w:rsidRPr="007A68E9">
              <w:rPr>
                <w:rFonts w:asciiTheme="minorHAnsi" w:hAnsiTheme="minorHAnsi" w:cs="Arial"/>
                <w:bCs/>
                <w:sz w:val="24"/>
                <w:szCs w:val="24"/>
              </w:rPr>
              <w:t>resources including a guide to getting the best out of your GP practice and a comprehensive guide to social care.</w:t>
            </w:r>
          </w:p>
        </w:tc>
      </w:tr>
      <w:tr w:rsidR="001602C0" w14:paraId="08C7B181" w14:textId="77777777" w:rsidTr="00BC5EE4">
        <w:tc>
          <w:tcPr>
            <w:tcW w:w="4459" w:type="dxa"/>
          </w:tcPr>
          <w:p w14:paraId="7BC4CCF5" w14:textId="3DB5786B" w:rsidR="001602C0" w:rsidRDefault="006529AD" w:rsidP="00BC5EE4">
            <w:pPr>
              <w:spacing w:after="120" w:line="240" w:lineRule="auto"/>
            </w:pPr>
            <w:r>
              <w:rPr>
                <w:rFonts w:asciiTheme="minorHAnsi" w:hAnsiTheme="minorHAnsi" w:cs="Arial"/>
                <w:bCs/>
                <w:sz w:val="24"/>
                <w:szCs w:val="24"/>
              </w:rPr>
              <w:t>i</w:t>
            </w:r>
            <w:r w:rsidR="001602C0" w:rsidRPr="00236281">
              <w:rPr>
                <w:rFonts w:asciiTheme="minorHAnsi" w:hAnsiTheme="minorHAnsi" w:cs="Arial"/>
                <w:bCs/>
                <w:sz w:val="24"/>
                <w:szCs w:val="24"/>
              </w:rPr>
              <w:t>ntroduce an interactive discussion board on our website to facilitate sharing of information and experiences between beneficiaries.</w:t>
            </w:r>
          </w:p>
        </w:tc>
        <w:tc>
          <w:tcPr>
            <w:tcW w:w="4460" w:type="dxa"/>
          </w:tcPr>
          <w:p w14:paraId="47F7CEDC" w14:textId="56F4B0D8" w:rsidR="001602C0" w:rsidRPr="007A68E9" w:rsidRDefault="006529AD" w:rsidP="0014031C">
            <w:pPr>
              <w:spacing w:after="120" w:line="240" w:lineRule="auto"/>
              <w:rPr>
                <w:rFonts w:asciiTheme="minorHAnsi" w:hAnsiTheme="minorHAnsi" w:cs="Arial"/>
                <w:bCs/>
                <w:sz w:val="24"/>
                <w:szCs w:val="24"/>
              </w:rPr>
            </w:pPr>
            <w:r w:rsidRPr="007A68E9">
              <w:rPr>
                <w:rFonts w:asciiTheme="minorHAnsi" w:hAnsiTheme="minorHAnsi" w:cs="Arial"/>
                <w:bCs/>
                <w:sz w:val="24"/>
                <w:szCs w:val="24"/>
              </w:rPr>
              <w:t>i</w:t>
            </w:r>
            <w:r w:rsidR="001602C0" w:rsidRPr="007A68E9">
              <w:rPr>
                <w:rFonts w:asciiTheme="minorHAnsi" w:hAnsiTheme="minorHAnsi" w:cs="Arial"/>
                <w:bCs/>
                <w:sz w:val="24"/>
                <w:szCs w:val="24"/>
              </w:rPr>
              <w:t>ncluded a wide range of ‘beneficiary stories’ on our website and introduced a facility to allow beneficiaries to comment on articles and stories.  We now plan to develop this further into an interactive ‘beneficiary forum’</w:t>
            </w:r>
            <w:r w:rsidR="003243AE" w:rsidRPr="007A68E9">
              <w:rPr>
                <w:rFonts w:asciiTheme="minorHAnsi" w:hAnsiTheme="minorHAnsi" w:cs="Arial"/>
                <w:bCs/>
                <w:sz w:val="24"/>
                <w:szCs w:val="24"/>
              </w:rPr>
              <w:t>.</w:t>
            </w:r>
          </w:p>
        </w:tc>
      </w:tr>
      <w:tr w:rsidR="001602C0" w14:paraId="139D94D9" w14:textId="77777777" w:rsidTr="00BC5EE4">
        <w:tc>
          <w:tcPr>
            <w:tcW w:w="4459" w:type="dxa"/>
          </w:tcPr>
          <w:p w14:paraId="6FF164B2" w14:textId="30208E00" w:rsidR="001602C0" w:rsidRPr="00236281" w:rsidRDefault="006529AD" w:rsidP="00BC5EE4">
            <w:pPr>
              <w:spacing w:after="120" w:line="240" w:lineRule="auto"/>
              <w:rPr>
                <w:rFonts w:asciiTheme="minorHAnsi" w:hAnsiTheme="minorHAnsi" w:cs="Arial"/>
                <w:bCs/>
                <w:sz w:val="24"/>
                <w:szCs w:val="24"/>
              </w:rPr>
            </w:pPr>
            <w:r>
              <w:rPr>
                <w:rFonts w:asciiTheme="minorHAnsi" w:hAnsiTheme="minorHAnsi" w:cs="Arial"/>
                <w:bCs/>
                <w:sz w:val="24"/>
                <w:szCs w:val="24"/>
              </w:rPr>
              <w:t>e</w:t>
            </w:r>
            <w:r w:rsidR="001602C0" w:rsidRPr="00236281">
              <w:rPr>
                <w:rFonts w:asciiTheme="minorHAnsi" w:hAnsiTheme="minorHAnsi" w:cs="Arial"/>
                <w:bCs/>
                <w:sz w:val="24"/>
                <w:szCs w:val="24"/>
              </w:rPr>
              <w:t xml:space="preserve">nsure compliance with the new data protection regulations (GDPR). </w:t>
            </w:r>
          </w:p>
        </w:tc>
        <w:tc>
          <w:tcPr>
            <w:tcW w:w="4460" w:type="dxa"/>
          </w:tcPr>
          <w:p w14:paraId="1AB101C5" w14:textId="71A9F93F" w:rsidR="001602C0" w:rsidRPr="007A68E9" w:rsidRDefault="006529AD" w:rsidP="00BC5EE4">
            <w:pPr>
              <w:spacing w:after="120" w:line="240" w:lineRule="auto"/>
              <w:rPr>
                <w:rFonts w:asciiTheme="minorHAnsi" w:hAnsiTheme="minorHAnsi" w:cs="Arial"/>
                <w:bCs/>
                <w:sz w:val="24"/>
                <w:szCs w:val="24"/>
              </w:rPr>
            </w:pPr>
            <w:r w:rsidRPr="007A68E9">
              <w:rPr>
                <w:rFonts w:asciiTheme="minorHAnsi" w:hAnsiTheme="minorHAnsi" w:cs="Arial"/>
                <w:bCs/>
                <w:sz w:val="24"/>
                <w:szCs w:val="24"/>
              </w:rPr>
              <w:t>p</w:t>
            </w:r>
            <w:r w:rsidR="001602C0" w:rsidRPr="007A68E9">
              <w:rPr>
                <w:rFonts w:asciiTheme="minorHAnsi" w:hAnsiTheme="minorHAnsi" w:cs="Arial"/>
                <w:bCs/>
                <w:sz w:val="24"/>
                <w:szCs w:val="24"/>
              </w:rPr>
              <w:t>roduced a detailed GDPR implementation plan and implemented this ahead of the regulations coming into force in May 2018</w:t>
            </w:r>
            <w:r w:rsidR="003243AE" w:rsidRPr="007A68E9">
              <w:rPr>
                <w:rFonts w:asciiTheme="minorHAnsi" w:hAnsiTheme="minorHAnsi" w:cs="Arial"/>
                <w:bCs/>
                <w:sz w:val="24"/>
                <w:szCs w:val="24"/>
              </w:rPr>
              <w:t>.</w:t>
            </w:r>
          </w:p>
        </w:tc>
      </w:tr>
      <w:tr w:rsidR="001602C0" w14:paraId="0B7534FF" w14:textId="77777777" w:rsidTr="00BC5EE4">
        <w:tc>
          <w:tcPr>
            <w:tcW w:w="4459" w:type="dxa"/>
          </w:tcPr>
          <w:p w14:paraId="2EB5D248" w14:textId="24B7ADE2" w:rsidR="001602C0" w:rsidRDefault="006529AD" w:rsidP="00B57647">
            <w:pPr>
              <w:spacing w:after="120" w:line="240" w:lineRule="auto"/>
              <w:rPr>
                <w:rFonts w:asciiTheme="minorHAnsi" w:hAnsiTheme="minorHAnsi" w:cs="Arial"/>
                <w:bCs/>
                <w:sz w:val="24"/>
                <w:szCs w:val="24"/>
              </w:rPr>
            </w:pPr>
            <w:r>
              <w:rPr>
                <w:rFonts w:asciiTheme="minorHAnsi" w:hAnsiTheme="minorHAnsi" w:cs="Arial"/>
                <w:bCs/>
                <w:sz w:val="24"/>
                <w:szCs w:val="24"/>
              </w:rPr>
              <w:t>c</w:t>
            </w:r>
            <w:r w:rsidR="001602C0" w:rsidRPr="00236281">
              <w:rPr>
                <w:rFonts w:asciiTheme="minorHAnsi" w:hAnsiTheme="minorHAnsi" w:cs="Arial"/>
                <w:bCs/>
                <w:sz w:val="24"/>
                <w:szCs w:val="24"/>
              </w:rPr>
              <w:t>ommence work on an initial research project with the Royal National Orthopaedic Hospital (RNOH) focussed on measuring cardiovascular risk amongst our beneficiaries.</w:t>
            </w:r>
          </w:p>
        </w:tc>
        <w:tc>
          <w:tcPr>
            <w:tcW w:w="4460" w:type="dxa"/>
          </w:tcPr>
          <w:p w14:paraId="1050EBDD" w14:textId="08DED16B" w:rsidR="001602C0" w:rsidRPr="007A68E9" w:rsidRDefault="006529AD" w:rsidP="00997759">
            <w:pPr>
              <w:spacing w:after="120" w:line="240" w:lineRule="auto"/>
              <w:rPr>
                <w:rFonts w:asciiTheme="minorHAnsi" w:hAnsiTheme="minorHAnsi" w:cs="Arial"/>
                <w:bCs/>
                <w:sz w:val="24"/>
                <w:szCs w:val="24"/>
              </w:rPr>
            </w:pPr>
            <w:r w:rsidRPr="007A68E9">
              <w:rPr>
                <w:rFonts w:asciiTheme="minorHAnsi" w:hAnsiTheme="minorHAnsi" w:cs="Arial"/>
                <w:bCs/>
                <w:sz w:val="24"/>
                <w:szCs w:val="24"/>
              </w:rPr>
              <w:t>a</w:t>
            </w:r>
            <w:r w:rsidR="001602C0" w:rsidRPr="007A68E9">
              <w:rPr>
                <w:rFonts w:asciiTheme="minorHAnsi" w:hAnsiTheme="minorHAnsi" w:cs="Arial"/>
                <w:bCs/>
                <w:sz w:val="24"/>
                <w:szCs w:val="24"/>
              </w:rPr>
              <w:t>lmost completed phase 1 of our cardiovascular risk project with the Royal National Orthopaedic Hospital (RNOH) and commenced phase 2 of the study</w:t>
            </w:r>
            <w:r w:rsidR="00076588" w:rsidRPr="007A68E9">
              <w:rPr>
                <w:rFonts w:asciiTheme="minorHAnsi" w:hAnsiTheme="minorHAnsi" w:cs="Arial"/>
                <w:bCs/>
                <w:sz w:val="24"/>
                <w:szCs w:val="24"/>
              </w:rPr>
              <w:t>.</w:t>
            </w:r>
            <w:r w:rsidR="001602C0" w:rsidRPr="007A68E9">
              <w:rPr>
                <w:rFonts w:asciiTheme="minorHAnsi" w:hAnsiTheme="minorHAnsi" w:cs="Arial"/>
                <w:bCs/>
                <w:sz w:val="24"/>
                <w:szCs w:val="24"/>
              </w:rPr>
              <w:t xml:space="preserve"> </w:t>
            </w:r>
            <w:r w:rsidR="00B57647" w:rsidRPr="007A68E9">
              <w:rPr>
                <w:rFonts w:asciiTheme="minorHAnsi" w:hAnsiTheme="minorHAnsi" w:cs="Arial"/>
                <w:bCs/>
                <w:sz w:val="24"/>
                <w:szCs w:val="24"/>
              </w:rPr>
              <w:t xml:space="preserve">We are </w:t>
            </w:r>
            <w:r w:rsidR="003243AE" w:rsidRPr="007A68E9">
              <w:rPr>
                <w:rFonts w:asciiTheme="minorHAnsi" w:hAnsiTheme="minorHAnsi" w:cs="Arial"/>
                <w:bCs/>
                <w:sz w:val="24"/>
                <w:szCs w:val="24"/>
              </w:rPr>
              <w:t xml:space="preserve">also </w:t>
            </w:r>
            <w:r w:rsidR="00B57647" w:rsidRPr="007A68E9">
              <w:rPr>
                <w:rFonts w:asciiTheme="minorHAnsi" w:hAnsiTheme="minorHAnsi" w:cs="Arial"/>
                <w:bCs/>
                <w:sz w:val="24"/>
                <w:szCs w:val="24"/>
              </w:rPr>
              <w:t xml:space="preserve">discussing with </w:t>
            </w:r>
            <w:r w:rsidR="001602C0" w:rsidRPr="007A68E9">
              <w:rPr>
                <w:rFonts w:asciiTheme="minorHAnsi" w:hAnsiTheme="minorHAnsi" w:cs="Arial"/>
                <w:bCs/>
                <w:sz w:val="24"/>
                <w:szCs w:val="24"/>
              </w:rPr>
              <w:t>German</w:t>
            </w:r>
            <w:r w:rsidR="00164C0C" w:rsidRPr="007A68E9">
              <w:rPr>
                <w:rFonts w:asciiTheme="minorHAnsi" w:hAnsiTheme="minorHAnsi" w:cs="Arial"/>
                <w:bCs/>
                <w:sz w:val="24"/>
                <w:szCs w:val="24"/>
              </w:rPr>
              <w:t xml:space="preserve"> clinical colleagues</w:t>
            </w:r>
            <w:r w:rsidR="00B57647" w:rsidRPr="007A68E9">
              <w:rPr>
                <w:rFonts w:asciiTheme="minorHAnsi" w:hAnsiTheme="minorHAnsi" w:cs="Arial"/>
                <w:bCs/>
                <w:sz w:val="24"/>
                <w:szCs w:val="24"/>
              </w:rPr>
              <w:t xml:space="preserve"> the possibility of </w:t>
            </w:r>
            <w:r w:rsidR="00997759" w:rsidRPr="007A68E9">
              <w:rPr>
                <w:rFonts w:asciiTheme="minorHAnsi" w:hAnsiTheme="minorHAnsi" w:cs="Arial"/>
                <w:bCs/>
                <w:sz w:val="24"/>
                <w:szCs w:val="24"/>
              </w:rPr>
              <w:t>re</w:t>
            </w:r>
            <w:r w:rsidR="001602C0" w:rsidRPr="007A68E9">
              <w:rPr>
                <w:rFonts w:asciiTheme="minorHAnsi" w:hAnsiTheme="minorHAnsi" w:cs="Arial"/>
                <w:bCs/>
                <w:sz w:val="24"/>
                <w:szCs w:val="24"/>
              </w:rPr>
              <w:t>plicating the study there to further strengthen the evidence.</w:t>
            </w:r>
          </w:p>
        </w:tc>
      </w:tr>
      <w:tr w:rsidR="00983373" w14:paraId="16BA2B4B" w14:textId="77777777" w:rsidTr="00BC5EE4">
        <w:tc>
          <w:tcPr>
            <w:tcW w:w="4459" w:type="dxa"/>
          </w:tcPr>
          <w:p w14:paraId="6C806F12" w14:textId="2E21CCD1" w:rsidR="00983373" w:rsidRDefault="00983373" w:rsidP="00983373">
            <w:pPr>
              <w:spacing w:after="120" w:line="240" w:lineRule="auto"/>
              <w:rPr>
                <w:rFonts w:asciiTheme="minorHAnsi" w:hAnsiTheme="minorHAnsi" w:cs="Arial"/>
                <w:bCs/>
                <w:sz w:val="24"/>
                <w:szCs w:val="24"/>
              </w:rPr>
            </w:pPr>
            <w:r>
              <w:rPr>
                <w:rFonts w:asciiTheme="minorHAnsi" w:hAnsiTheme="minorHAnsi" w:cs="Arial"/>
                <w:bCs/>
                <w:sz w:val="24"/>
                <w:szCs w:val="24"/>
              </w:rPr>
              <w:t>h</w:t>
            </w:r>
            <w:r w:rsidRPr="00236281">
              <w:rPr>
                <w:rFonts w:asciiTheme="minorHAnsi" w:hAnsiTheme="minorHAnsi" w:cs="Arial"/>
                <w:bCs/>
                <w:sz w:val="24"/>
                <w:szCs w:val="24"/>
              </w:rPr>
              <w:t>old a new beneficiary event focussing on financial matters.</w:t>
            </w:r>
          </w:p>
        </w:tc>
        <w:tc>
          <w:tcPr>
            <w:tcW w:w="4460" w:type="dxa"/>
          </w:tcPr>
          <w:p w14:paraId="1631FCC1" w14:textId="5165E7F6" w:rsidR="00983373" w:rsidRPr="007A68E9" w:rsidRDefault="00983373" w:rsidP="00983373">
            <w:pPr>
              <w:spacing w:after="120" w:line="240" w:lineRule="auto"/>
              <w:rPr>
                <w:rFonts w:asciiTheme="minorHAnsi" w:hAnsiTheme="minorHAnsi" w:cs="Arial"/>
                <w:bCs/>
                <w:sz w:val="24"/>
                <w:szCs w:val="24"/>
              </w:rPr>
            </w:pPr>
            <w:r w:rsidRPr="007A68E9">
              <w:rPr>
                <w:rFonts w:asciiTheme="minorHAnsi" w:hAnsiTheme="minorHAnsi" w:cs="Arial"/>
                <w:bCs/>
                <w:sz w:val="24"/>
                <w:szCs w:val="24"/>
              </w:rPr>
              <w:t>held a ‘Future Money Matters’ event in Birmingham in May which was well attended and resulted in very positive feedback from beneficiaries who participated.</w:t>
            </w:r>
          </w:p>
        </w:tc>
      </w:tr>
      <w:tr w:rsidR="00B03C75" w14:paraId="4EA83EDE" w14:textId="77777777" w:rsidTr="00BC5EE4">
        <w:tc>
          <w:tcPr>
            <w:tcW w:w="4459" w:type="dxa"/>
          </w:tcPr>
          <w:p w14:paraId="1A546907" w14:textId="66607A0E" w:rsidR="00B03C75" w:rsidRDefault="00B03C75" w:rsidP="00983373">
            <w:pPr>
              <w:spacing w:after="120" w:line="240" w:lineRule="auto"/>
              <w:rPr>
                <w:rFonts w:asciiTheme="minorHAnsi" w:hAnsiTheme="minorHAnsi" w:cs="Arial"/>
                <w:bCs/>
                <w:sz w:val="24"/>
                <w:szCs w:val="24"/>
              </w:rPr>
            </w:pPr>
            <w:r>
              <w:rPr>
                <w:rFonts w:asciiTheme="minorHAnsi" w:hAnsiTheme="minorHAnsi" w:cs="Arial"/>
                <w:bCs/>
                <w:sz w:val="24"/>
                <w:szCs w:val="24"/>
              </w:rPr>
              <w:lastRenderedPageBreak/>
              <w:t>c</w:t>
            </w:r>
            <w:r w:rsidRPr="00236281">
              <w:rPr>
                <w:rFonts w:asciiTheme="minorHAnsi" w:hAnsiTheme="minorHAnsi" w:cs="Arial"/>
                <w:bCs/>
                <w:sz w:val="24"/>
                <w:szCs w:val="24"/>
              </w:rPr>
              <w:t>ontinue to roll out our programme of Holistic Needs Assessments (HNAs) and draw on the findings to increase our understanding of current and emerging beneficiary needs.</w:t>
            </w:r>
          </w:p>
        </w:tc>
        <w:tc>
          <w:tcPr>
            <w:tcW w:w="4460" w:type="dxa"/>
          </w:tcPr>
          <w:p w14:paraId="334DE71E" w14:textId="2DA03592" w:rsidR="00B03C75" w:rsidRPr="007A68E9" w:rsidRDefault="00B03C75" w:rsidP="00B03C75">
            <w:pPr>
              <w:spacing w:after="120" w:line="240" w:lineRule="auto"/>
              <w:rPr>
                <w:rFonts w:asciiTheme="minorHAnsi" w:hAnsiTheme="minorHAnsi" w:cs="Arial"/>
                <w:bCs/>
                <w:sz w:val="24"/>
                <w:szCs w:val="24"/>
              </w:rPr>
            </w:pPr>
            <w:r w:rsidRPr="007A68E9">
              <w:rPr>
                <w:rFonts w:asciiTheme="minorHAnsi" w:hAnsiTheme="minorHAnsi" w:cs="Arial"/>
                <w:bCs/>
                <w:sz w:val="24"/>
                <w:szCs w:val="24"/>
              </w:rPr>
              <w:t>undertaken almost 150 HNAs (</w:t>
            </w:r>
            <w:r w:rsidR="004C25E3" w:rsidRPr="007A68E9">
              <w:rPr>
                <w:rFonts w:asciiTheme="minorHAnsi" w:hAnsiTheme="minorHAnsi" w:cs="Arial"/>
                <w:bCs/>
                <w:sz w:val="24"/>
                <w:szCs w:val="24"/>
              </w:rPr>
              <w:t xml:space="preserve">comprehensive </w:t>
            </w:r>
            <w:r w:rsidRPr="007A68E9">
              <w:rPr>
                <w:rFonts w:asciiTheme="minorHAnsi" w:hAnsiTheme="minorHAnsi" w:cs="Arial"/>
                <w:bCs/>
                <w:sz w:val="24"/>
                <w:szCs w:val="24"/>
              </w:rPr>
              <w:t>personal assessments conducted by trained Trust staff in beneficiaries’ own homes) in the 12 month period – enabling us to provide increased support to individual beneficiaries and also gather valuable evidence on beneficiaries’ needs.</w:t>
            </w:r>
          </w:p>
        </w:tc>
      </w:tr>
      <w:tr w:rsidR="00983373" w14:paraId="6CA03ADD" w14:textId="77777777" w:rsidTr="00BC5EE4">
        <w:tc>
          <w:tcPr>
            <w:tcW w:w="4459" w:type="dxa"/>
          </w:tcPr>
          <w:p w14:paraId="2A7EE335" w14:textId="1D018A17" w:rsidR="00983373" w:rsidRDefault="00983373" w:rsidP="00983373">
            <w:pPr>
              <w:spacing w:after="120" w:line="240" w:lineRule="auto"/>
              <w:rPr>
                <w:rFonts w:asciiTheme="minorHAnsi" w:hAnsiTheme="minorHAnsi" w:cs="Arial"/>
                <w:bCs/>
                <w:sz w:val="24"/>
                <w:szCs w:val="24"/>
              </w:rPr>
            </w:pPr>
            <w:r>
              <w:rPr>
                <w:rFonts w:asciiTheme="minorHAnsi" w:hAnsiTheme="minorHAnsi" w:cs="Arial"/>
                <w:bCs/>
                <w:sz w:val="24"/>
                <w:szCs w:val="24"/>
              </w:rPr>
              <w:t>e</w:t>
            </w:r>
            <w:r w:rsidRPr="00236281">
              <w:rPr>
                <w:rFonts w:asciiTheme="minorHAnsi" w:hAnsiTheme="minorHAnsi" w:cs="Arial"/>
                <w:bCs/>
                <w:sz w:val="24"/>
                <w:szCs w:val="24"/>
              </w:rPr>
              <w:t>xtend and develop our network of external medical specialists.</w:t>
            </w:r>
          </w:p>
        </w:tc>
        <w:tc>
          <w:tcPr>
            <w:tcW w:w="4460" w:type="dxa"/>
          </w:tcPr>
          <w:p w14:paraId="60DF2BCD" w14:textId="5F1B53AB" w:rsidR="00983373" w:rsidRPr="007A68E9" w:rsidRDefault="00983373" w:rsidP="00983373">
            <w:pPr>
              <w:spacing w:after="120" w:line="240" w:lineRule="auto"/>
              <w:rPr>
                <w:rFonts w:asciiTheme="minorHAnsi" w:hAnsiTheme="minorHAnsi" w:cs="Arial"/>
                <w:bCs/>
                <w:sz w:val="24"/>
                <w:szCs w:val="24"/>
              </w:rPr>
            </w:pPr>
            <w:r w:rsidRPr="007A68E9">
              <w:rPr>
                <w:rFonts w:asciiTheme="minorHAnsi" w:hAnsiTheme="minorHAnsi" w:cs="Arial"/>
                <w:bCs/>
                <w:sz w:val="24"/>
                <w:szCs w:val="24"/>
              </w:rPr>
              <w:t xml:space="preserve">added a number of external specialists to our clinical network and introduced a ‘professionals directory’ on our website, including patient and professional reviews </w:t>
            </w:r>
            <w:r w:rsidRPr="007A68E9">
              <w:rPr>
                <w:rFonts w:asciiTheme="minorHAnsi" w:eastAsiaTheme="minorHAnsi" w:hAnsiTheme="minorHAnsi" w:cstheme="minorBidi"/>
                <w:sz w:val="24"/>
                <w:szCs w:val="24"/>
              </w:rPr>
              <w:t>to help beneficiaries and their GPs make informed decisions about their care.</w:t>
            </w:r>
          </w:p>
        </w:tc>
      </w:tr>
      <w:tr w:rsidR="00983373" w14:paraId="1C69D8F7" w14:textId="77777777" w:rsidTr="00BC5EE4">
        <w:trPr>
          <w:trHeight w:val="597"/>
        </w:trPr>
        <w:tc>
          <w:tcPr>
            <w:tcW w:w="4459" w:type="dxa"/>
          </w:tcPr>
          <w:p w14:paraId="59FF1B48" w14:textId="3665B39E" w:rsidR="00983373" w:rsidRDefault="00983373" w:rsidP="00983373">
            <w:pPr>
              <w:spacing w:after="120" w:line="240" w:lineRule="auto"/>
              <w:rPr>
                <w:rFonts w:asciiTheme="minorHAnsi" w:hAnsiTheme="minorHAnsi" w:cs="Arial"/>
                <w:bCs/>
                <w:sz w:val="24"/>
                <w:szCs w:val="24"/>
              </w:rPr>
            </w:pPr>
            <w:r>
              <w:rPr>
                <w:rFonts w:asciiTheme="minorHAnsi" w:hAnsiTheme="minorHAnsi" w:cs="Arial"/>
                <w:bCs/>
                <w:sz w:val="24"/>
                <w:szCs w:val="24"/>
              </w:rPr>
              <w:t>d</w:t>
            </w:r>
            <w:r w:rsidRPr="00236281">
              <w:rPr>
                <w:rFonts w:asciiTheme="minorHAnsi" w:hAnsiTheme="minorHAnsi" w:cs="Arial"/>
                <w:bCs/>
                <w:sz w:val="24"/>
                <w:szCs w:val="24"/>
              </w:rPr>
              <w:t>evelop an individual care plan for each of our beneficiaries who lack capacity.</w:t>
            </w:r>
          </w:p>
        </w:tc>
        <w:tc>
          <w:tcPr>
            <w:tcW w:w="4460" w:type="dxa"/>
          </w:tcPr>
          <w:p w14:paraId="2AC681AF" w14:textId="3E9841B2" w:rsidR="00983373" w:rsidRPr="007A68E9" w:rsidRDefault="00983373" w:rsidP="00983373">
            <w:pPr>
              <w:spacing w:after="120" w:line="240" w:lineRule="auto"/>
              <w:rPr>
                <w:rFonts w:asciiTheme="minorHAnsi" w:hAnsiTheme="minorHAnsi" w:cs="Arial"/>
                <w:bCs/>
                <w:sz w:val="24"/>
                <w:szCs w:val="24"/>
              </w:rPr>
            </w:pPr>
            <w:r w:rsidRPr="007A68E9">
              <w:rPr>
                <w:rFonts w:asciiTheme="minorHAnsi" w:hAnsiTheme="minorHAnsi" w:cs="Arial"/>
                <w:bCs/>
                <w:sz w:val="24"/>
                <w:szCs w:val="24"/>
              </w:rPr>
              <w:t>worked with legal deputies and key carers to ensure a comprehensive costed care plan is developed for each beneficiary who lacks capacity in order to optimise their quality of life and level of independence.</w:t>
            </w:r>
          </w:p>
        </w:tc>
      </w:tr>
      <w:tr w:rsidR="00983373" w14:paraId="3F21AE34" w14:textId="77777777" w:rsidTr="00BC5EE4">
        <w:tc>
          <w:tcPr>
            <w:tcW w:w="4459" w:type="dxa"/>
          </w:tcPr>
          <w:p w14:paraId="23B52CA9" w14:textId="3B7C8ACC" w:rsidR="00983373" w:rsidRPr="00236281" w:rsidRDefault="00983373" w:rsidP="00983373">
            <w:pPr>
              <w:spacing w:after="120" w:line="240" w:lineRule="auto"/>
              <w:rPr>
                <w:rFonts w:asciiTheme="minorHAnsi" w:hAnsiTheme="minorHAnsi" w:cs="Arial"/>
                <w:bCs/>
                <w:sz w:val="24"/>
                <w:szCs w:val="24"/>
              </w:rPr>
            </w:pPr>
            <w:r>
              <w:rPr>
                <w:rFonts w:asciiTheme="minorHAnsi" w:hAnsiTheme="minorHAnsi" w:cs="Arial"/>
                <w:bCs/>
                <w:sz w:val="24"/>
                <w:szCs w:val="24"/>
              </w:rPr>
              <w:t>i</w:t>
            </w:r>
            <w:r w:rsidRPr="00236281">
              <w:rPr>
                <w:rFonts w:asciiTheme="minorHAnsi" w:hAnsiTheme="minorHAnsi" w:cs="Arial"/>
                <w:bCs/>
                <w:sz w:val="24"/>
                <w:szCs w:val="24"/>
              </w:rPr>
              <w:t>ncrease communication between the NAC and the wider beneficiary community to promote further engagement.</w:t>
            </w:r>
          </w:p>
        </w:tc>
        <w:tc>
          <w:tcPr>
            <w:tcW w:w="4460" w:type="dxa"/>
          </w:tcPr>
          <w:p w14:paraId="787F1A52" w14:textId="06BF6FC3" w:rsidR="00983373" w:rsidRPr="007A68E9" w:rsidDel="00902E4B" w:rsidRDefault="00983373" w:rsidP="00D66987">
            <w:pPr>
              <w:spacing w:after="120" w:line="240" w:lineRule="auto"/>
              <w:rPr>
                <w:rFonts w:asciiTheme="minorHAnsi" w:hAnsiTheme="minorHAnsi" w:cs="Arial"/>
                <w:bCs/>
                <w:sz w:val="24"/>
                <w:szCs w:val="24"/>
              </w:rPr>
            </w:pPr>
            <w:r w:rsidRPr="007A68E9">
              <w:rPr>
                <w:rFonts w:asciiTheme="minorHAnsi" w:hAnsiTheme="minorHAnsi" w:cs="Arial"/>
                <w:bCs/>
                <w:sz w:val="24"/>
                <w:szCs w:val="24"/>
              </w:rPr>
              <w:t>introduced a number of new initiatives including sharing NAC meeting agendas with beneficiaries in advance, providing a summary of NAC meetings, and making it easier for beneficiaries to contact individual NAC members.</w:t>
            </w:r>
          </w:p>
        </w:tc>
      </w:tr>
    </w:tbl>
    <w:p w14:paraId="0A24E8D2" w14:textId="77777777" w:rsidR="001602C0" w:rsidRDefault="001602C0" w:rsidP="001602C0">
      <w:pPr>
        <w:spacing w:before="120" w:after="120" w:line="240" w:lineRule="auto"/>
        <w:rPr>
          <w:rFonts w:asciiTheme="minorHAnsi" w:hAnsiTheme="minorHAnsi" w:cs="Arial"/>
          <w:bCs/>
          <w:sz w:val="24"/>
          <w:szCs w:val="24"/>
        </w:rPr>
      </w:pPr>
      <w:r>
        <w:rPr>
          <w:rFonts w:asciiTheme="minorHAnsi" w:hAnsiTheme="minorHAnsi" w:cs="Arial"/>
          <w:bCs/>
          <w:sz w:val="24"/>
          <w:szCs w:val="24"/>
        </w:rPr>
        <w:t>Other key achievements over the last 12 months include:</w:t>
      </w:r>
    </w:p>
    <w:p w14:paraId="4504714B" w14:textId="1D7E57EA" w:rsidR="001602C0" w:rsidRDefault="001602C0" w:rsidP="001602C0">
      <w:pPr>
        <w:pStyle w:val="ListParagraph"/>
        <w:numPr>
          <w:ilvl w:val="0"/>
          <w:numId w:val="28"/>
        </w:numPr>
        <w:spacing w:after="120"/>
        <w:ind w:left="709" w:hanging="567"/>
        <w:contextualSpacing w:val="0"/>
        <w:rPr>
          <w:rFonts w:asciiTheme="minorHAnsi" w:hAnsiTheme="minorHAnsi"/>
          <w:sz w:val="24"/>
          <w:szCs w:val="24"/>
        </w:rPr>
      </w:pPr>
      <w:r>
        <w:rPr>
          <w:rFonts w:asciiTheme="minorHAnsi" w:hAnsiTheme="minorHAnsi"/>
          <w:sz w:val="24"/>
          <w:szCs w:val="24"/>
        </w:rPr>
        <w:t>Holding a ‘local’ event in Belfast to create a forum for beneficiaries living in Ireland</w:t>
      </w:r>
      <w:r w:rsidR="006529AD">
        <w:rPr>
          <w:rFonts w:asciiTheme="minorHAnsi" w:hAnsiTheme="minorHAnsi"/>
          <w:sz w:val="24"/>
          <w:szCs w:val="24"/>
        </w:rPr>
        <w:t xml:space="preserve"> </w:t>
      </w:r>
      <w:r>
        <w:rPr>
          <w:rFonts w:asciiTheme="minorHAnsi" w:hAnsiTheme="minorHAnsi"/>
          <w:sz w:val="24"/>
          <w:szCs w:val="24"/>
        </w:rPr>
        <w:t>to get together to share knowledge, create links</w:t>
      </w:r>
      <w:r w:rsidR="00164C0C">
        <w:rPr>
          <w:rFonts w:asciiTheme="minorHAnsi" w:hAnsiTheme="minorHAnsi"/>
          <w:sz w:val="24"/>
          <w:szCs w:val="24"/>
        </w:rPr>
        <w:t>,</w:t>
      </w:r>
      <w:r>
        <w:rPr>
          <w:rFonts w:asciiTheme="minorHAnsi" w:hAnsiTheme="minorHAnsi"/>
          <w:sz w:val="24"/>
          <w:szCs w:val="24"/>
        </w:rPr>
        <w:t xml:space="preserve"> and find out more about the support that is available from the Trust.</w:t>
      </w:r>
    </w:p>
    <w:p w14:paraId="567B1C24" w14:textId="30E644A2" w:rsidR="001602C0" w:rsidRDefault="001602C0" w:rsidP="001602C0">
      <w:pPr>
        <w:pStyle w:val="ListParagraph"/>
        <w:numPr>
          <w:ilvl w:val="0"/>
          <w:numId w:val="28"/>
        </w:numPr>
        <w:spacing w:after="120"/>
        <w:ind w:left="709" w:hanging="567"/>
        <w:contextualSpacing w:val="0"/>
        <w:rPr>
          <w:rFonts w:asciiTheme="minorHAnsi" w:hAnsiTheme="minorHAnsi"/>
          <w:sz w:val="24"/>
          <w:szCs w:val="24"/>
        </w:rPr>
      </w:pPr>
      <w:r>
        <w:rPr>
          <w:rFonts w:asciiTheme="minorHAnsi" w:hAnsiTheme="minorHAnsi"/>
          <w:sz w:val="24"/>
          <w:szCs w:val="24"/>
        </w:rPr>
        <w:t xml:space="preserve">Supporting a significant number of beneficiaries through the transition from Disability Living Allowance (DLA) to Personal Independence </w:t>
      </w:r>
      <w:r w:rsidR="005C0592">
        <w:rPr>
          <w:rFonts w:asciiTheme="minorHAnsi" w:hAnsiTheme="minorHAnsi"/>
          <w:sz w:val="24"/>
          <w:szCs w:val="24"/>
        </w:rPr>
        <w:t>P</w:t>
      </w:r>
      <w:r>
        <w:rPr>
          <w:rFonts w:asciiTheme="minorHAnsi" w:hAnsiTheme="minorHAnsi"/>
          <w:sz w:val="24"/>
          <w:szCs w:val="24"/>
        </w:rPr>
        <w:t xml:space="preserve">ayments (PIP) </w:t>
      </w:r>
    </w:p>
    <w:p w14:paraId="4BF37F5F" w14:textId="1974F238" w:rsidR="001602C0" w:rsidRDefault="001602C0" w:rsidP="00E540A0">
      <w:pPr>
        <w:pStyle w:val="ListParagraph"/>
        <w:numPr>
          <w:ilvl w:val="0"/>
          <w:numId w:val="28"/>
        </w:numPr>
        <w:spacing w:after="120"/>
        <w:ind w:left="709" w:hanging="567"/>
        <w:contextualSpacing w:val="0"/>
        <w:rPr>
          <w:rFonts w:asciiTheme="minorHAnsi" w:hAnsiTheme="minorHAnsi"/>
          <w:sz w:val="24"/>
          <w:szCs w:val="24"/>
        </w:rPr>
      </w:pPr>
      <w:r w:rsidRPr="008E23DF">
        <w:rPr>
          <w:rFonts w:asciiTheme="minorHAnsi" w:hAnsiTheme="minorHAnsi"/>
          <w:sz w:val="24"/>
          <w:szCs w:val="24"/>
        </w:rPr>
        <w:t xml:space="preserve">Providing personalised Health </w:t>
      </w:r>
      <w:r w:rsidR="00117D38">
        <w:rPr>
          <w:rFonts w:asciiTheme="minorHAnsi" w:hAnsiTheme="minorHAnsi"/>
          <w:sz w:val="24"/>
          <w:szCs w:val="24"/>
        </w:rPr>
        <w:t>and</w:t>
      </w:r>
      <w:r w:rsidRPr="008E23DF">
        <w:rPr>
          <w:rFonts w:asciiTheme="minorHAnsi" w:hAnsiTheme="minorHAnsi"/>
          <w:sz w:val="24"/>
          <w:szCs w:val="24"/>
        </w:rPr>
        <w:t xml:space="preserve"> Wellbeing advice and support to 349 beneficiaries (75% of the total community) on a wide range of topics including health, daily living and home adaptations, benefits, care and carers.  The most common health issues raised by beneficiaries were pain, pins </w:t>
      </w:r>
      <w:r w:rsidR="00117D38">
        <w:rPr>
          <w:rFonts w:asciiTheme="minorHAnsi" w:hAnsiTheme="minorHAnsi"/>
          <w:sz w:val="24"/>
          <w:szCs w:val="24"/>
        </w:rPr>
        <w:t>and</w:t>
      </w:r>
      <w:r w:rsidRPr="008E23DF">
        <w:rPr>
          <w:rFonts w:asciiTheme="minorHAnsi" w:hAnsiTheme="minorHAnsi"/>
          <w:sz w:val="24"/>
          <w:szCs w:val="24"/>
        </w:rPr>
        <w:t xml:space="preserve"> needles and other neurological issues, emotional and mental health, balance and falls</w:t>
      </w:r>
      <w:r w:rsidR="00164C0C">
        <w:rPr>
          <w:rFonts w:asciiTheme="minorHAnsi" w:hAnsiTheme="minorHAnsi"/>
          <w:sz w:val="24"/>
          <w:szCs w:val="24"/>
        </w:rPr>
        <w:t>,</w:t>
      </w:r>
      <w:r w:rsidRPr="008E23DF">
        <w:rPr>
          <w:rFonts w:asciiTheme="minorHAnsi" w:hAnsiTheme="minorHAnsi"/>
          <w:sz w:val="24"/>
          <w:szCs w:val="24"/>
        </w:rPr>
        <w:t xml:space="preserve"> and ear problems.</w:t>
      </w:r>
    </w:p>
    <w:p w14:paraId="576A47BC" w14:textId="77777777" w:rsidR="001602C0" w:rsidRPr="00E75449" w:rsidRDefault="001602C0" w:rsidP="001602C0">
      <w:pPr>
        <w:pStyle w:val="ListParagraph"/>
        <w:numPr>
          <w:ilvl w:val="0"/>
          <w:numId w:val="28"/>
        </w:numPr>
        <w:ind w:left="709" w:hanging="567"/>
        <w:contextualSpacing w:val="0"/>
        <w:rPr>
          <w:rFonts w:asciiTheme="minorHAnsi" w:hAnsiTheme="minorHAnsi"/>
          <w:sz w:val="24"/>
          <w:szCs w:val="24"/>
        </w:rPr>
      </w:pPr>
      <w:r>
        <w:rPr>
          <w:rFonts w:asciiTheme="minorHAnsi" w:hAnsiTheme="minorHAnsi"/>
          <w:sz w:val="24"/>
          <w:szCs w:val="24"/>
        </w:rPr>
        <w:t>Securing a disregard of Trust income when assessing eligibility for means-tested benefits in all four nations of the UK.</w:t>
      </w:r>
    </w:p>
    <w:p w14:paraId="234EEA8A" w14:textId="282C1F1A" w:rsidR="001602C0" w:rsidRPr="00236281" w:rsidRDefault="001602C0" w:rsidP="001602C0">
      <w:pPr>
        <w:spacing w:after="120"/>
        <w:rPr>
          <w:rFonts w:asciiTheme="minorHAnsi" w:hAnsiTheme="minorHAnsi"/>
          <w:color w:val="FF0000"/>
          <w:sz w:val="24"/>
          <w:szCs w:val="24"/>
        </w:rPr>
      </w:pPr>
      <w:r w:rsidRPr="00236281">
        <w:rPr>
          <w:rFonts w:asciiTheme="minorHAnsi" w:hAnsiTheme="minorHAnsi" w:cs="Arial"/>
          <w:b/>
          <w:bCs/>
          <w:color w:val="442359"/>
          <w:sz w:val="24"/>
          <w:szCs w:val="24"/>
        </w:rPr>
        <w:t>Plans for the future</w:t>
      </w:r>
    </w:p>
    <w:p w14:paraId="151B490A" w14:textId="57F60D8B" w:rsidR="00763657" w:rsidRDefault="001602C0" w:rsidP="001602C0">
      <w:pPr>
        <w:spacing w:after="120" w:line="240" w:lineRule="auto"/>
        <w:rPr>
          <w:rFonts w:asciiTheme="minorHAnsi" w:hAnsiTheme="minorHAnsi" w:cs="Arial"/>
          <w:bCs/>
          <w:sz w:val="24"/>
          <w:szCs w:val="24"/>
        </w:rPr>
      </w:pPr>
      <w:r w:rsidRPr="001D1CFF">
        <w:rPr>
          <w:rFonts w:asciiTheme="minorHAnsi" w:hAnsiTheme="minorHAnsi" w:cs="Arial"/>
          <w:bCs/>
          <w:sz w:val="24"/>
          <w:szCs w:val="24"/>
        </w:rPr>
        <w:t xml:space="preserve">In the next </w:t>
      </w:r>
      <w:r>
        <w:rPr>
          <w:rFonts w:asciiTheme="minorHAnsi" w:hAnsiTheme="minorHAnsi" w:cs="Arial"/>
          <w:bCs/>
          <w:sz w:val="24"/>
          <w:szCs w:val="24"/>
        </w:rPr>
        <w:t xml:space="preserve">12 </w:t>
      </w:r>
      <w:r w:rsidRPr="001D1CFF">
        <w:rPr>
          <w:rFonts w:asciiTheme="minorHAnsi" w:hAnsiTheme="minorHAnsi" w:cs="Arial"/>
          <w:bCs/>
          <w:sz w:val="24"/>
          <w:szCs w:val="24"/>
        </w:rPr>
        <w:t xml:space="preserve">months </w:t>
      </w:r>
      <w:r>
        <w:rPr>
          <w:rFonts w:asciiTheme="minorHAnsi" w:hAnsiTheme="minorHAnsi" w:cs="Arial"/>
          <w:bCs/>
          <w:sz w:val="24"/>
          <w:szCs w:val="24"/>
        </w:rPr>
        <w:t xml:space="preserve">– as we celebrate the first of our beneficiaries reaching the age of 60! - </w:t>
      </w:r>
      <w:r w:rsidRPr="001D1CFF">
        <w:rPr>
          <w:rFonts w:asciiTheme="minorHAnsi" w:hAnsiTheme="minorHAnsi" w:cs="Arial"/>
          <w:bCs/>
          <w:sz w:val="24"/>
          <w:szCs w:val="24"/>
        </w:rPr>
        <w:t xml:space="preserve">the trustees, staff and members of the NAC will </w:t>
      </w:r>
      <w:r w:rsidR="00F80DAF">
        <w:rPr>
          <w:rFonts w:asciiTheme="minorHAnsi" w:hAnsiTheme="minorHAnsi" w:cs="Arial"/>
          <w:bCs/>
          <w:sz w:val="24"/>
          <w:szCs w:val="24"/>
        </w:rPr>
        <w:t xml:space="preserve">continue to </w:t>
      </w:r>
      <w:r w:rsidRPr="001D1CFF">
        <w:rPr>
          <w:rFonts w:asciiTheme="minorHAnsi" w:hAnsiTheme="minorHAnsi" w:cs="Arial"/>
          <w:bCs/>
          <w:sz w:val="24"/>
          <w:szCs w:val="24"/>
        </w:rPr>
        <w:t>work together to</w:t>
      </w:r>
      <w:r>
        <w:rPr>
          <w:rFonts w:asciiTheme="minorHAnsi" w:hAnsiTheme="minorHAnsi" w:cs="Arial"/>
          <w:bCs/>
          <w:sz w:val="24"/>
          <w:szCs w:val="24"/>
        </w:rPr>
        <w:t xml:space="preserve"> implement their jointly-owned Strategic Plan.  </w:t>
      </w:r>
    </w:p>
    <w:p w14:paraId="2588718C" w14:textId="52CDC1C6" w:rsidR="001602C0" w:rsidRDefault="001602C0" w:rsidP="001602C0">
      <w:pPr>
        <w:spacing w:after="120" w:line="240" w:lineRule="auto"/>
        <w:rPr>
          <w:rFonts w:asciiTheme="minorHAnsi" w:hAnsiTheme="minorHAnsi" w:cs="Arial"/>
          <w:bCs/>
          <w:sz w:val="24"/>
          <w:szCs w:val="24"/>
        </w:rPr>
      </w:pPr>
      <w:r>
        <w:rPr>
          <w:rFonts w:asciiTheme="minorHAnsi" w:hAnsiTheme="minorHAnsi" w:cs="Arial"/>
          <w:bCs/>
          <w:sz w:val="24"/>
          <w:szCs w:val="24"/>
        </w:rPr>
        <w:t>Specifically, we will</w:t>
      </w:r>
      <w:r w:rsidRPr="001D1CFF">
        <w:rPr>
          <w:rFonts w:asciiTheme="minorHAnsi" w:hAnsiTheme="minorHAnsi" w:cs="Arial"/>
          <w:bCs/>
          <w:sz w:val="24"/>
          <w:szCs w:val="24"/>
        </w:rPr>
        <w:t>:</w:t>
      </w:r>
    </w:p>
    <w:p w14:paraId="7E78D149" w14:textId="77777777" w:rsidR="001602C0" w:rsidRDefault="001602C0"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Pr>
          <w:rFonts w:asciiTheme="minorHAnsi" w:hAnsiTheme="minorHAnsi" w:cs="Arial"/>
          <w:bCs/>
          <w:sz w:val="24"/>
          <w:szCs w:val="24"/>
        </w:rPr>
        <w:t>Produce a ‘Thalidomide Resource Pack’ for GP practices who have a beneficiary patient.</w:t>
      </w:r>
    </w:p>
    <w:p w14:paraId="7C01DE05" w14:textId="6714A3E0" w:rsidR="001602C0" w:rsidRPr="007A68E9" w:rsidRDefault="00164C0C"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7A68E9">
        <w:rPr>
          <w:rFonts w:asciiTheme="minorHAnsi" w:hAnsiTheme="minorHAnsi" w:cs="Arial"/>
          <w:bCs/>
          <w:sz w:val="24"/>
          <w:szCs w:val="24"/>
        </w:rPr>
        <w:lastRenderedPageBreak/>
        <w:t>Repeat a periodic</w:t>
      </w:r>
      <w:r w:rsidR="001602C0" w:rsidRPr="007A68E9">
        <w:rPr>
          <w:rFonts w:asciiTheme="minorHAnsi" w:hAnsiTheme="minorHAnsi" w:cs="Arial"/>
          <w:bCs/>
          <w:sz w:val="24"/>
          <w:szCs w:val="24"/>
        </w:rPr>
        <w:t xml:space="preserve"> beneficiary feedback survey to gather the views of beneficiaries on the support that we are currently providing and ideas for further improvement.</w:t>
      </w:r>
    </w:p>
    <w:p w14:paraId="6EAF536F" w14:textId="49B20B2A" w:rsidR="001602C0" w:rsidRPr="007A68E9" w:rsidRDefault="001602C0" w:rsidP="001602C0">
      <w:pPr>
        <w:pStyle w:val="ListParagraph"/>
        <w:numPr>
          <w:ilvl w:val="0"/>
          <w:numId w:val="32"/>
        </w:numPr>
        <w:spacing w:after="120"/>
        <w:ind w:left="714" w:hanging="357"/>
        <w:contextualSpacing w:val="0"/>
        <w:rPr>
          <w:rFonts w:asciiTheme="minorHAnsi" w:eastAsia="Calibri" w:hAnsiTheme="minorHAnsi"/>
          <w:sz w:val="24"/>
          <w:szCs w:val="24"/>
        </w:rPr>
      </w:pPr>
      <w:r w:rsidRPr="007A68E9">
        <w:rPr>
          <w:rFonts w:asciiTheme="minorHAnsi" w:hAnsiTheme="minorHAnsi" w:cs="Arial"/>
          <w:bCs/>
          <w:sz w:val="24"/>
          <w:szCs w:val="24"/>
        </w:rPr>
        <w:t>Commence a new research project in partnership with the University of York which</w:t>
      </w:r>
      <w:r w:rsidRPr="007A68E9">
        <w:rPr>
          <w:rFonts w:asciiTheme="minorHAnsi" w:eastAsia="Calibri" w:hAnsiTheme="minorHAnsi"/>
        </w:rPr>
        <w:t xml:space="preserve"> </w:t>
      </w:r>
      <w:r w:rsidR="00997759" w:rsidRPr="007A68E9">
        <w:rPr>
          <w:rFonts w:asciiTheme="minorHAnsi" w:eastAsia="Calibri" w:hAnsiTheme="minorHAnsi"/>
          <w:sz w:val="24"/>
          <w:szCs w:val="24"/>
        </w:rPr>
        <w:t>aims to improve</w:t>
      </w:r>
      <w:r w:rsidR="00997759" w:rsidRPr="007A68E9">
        <w:rPr>
          <w:rFonts w:asciiTheme="minorHAnsi" w:eastAsia="Calibri" w:hAnsiTheme="minorHAnsi"/>
        </w:rPr>
        <w:t xml:space="preserve"> </w:t>
      </w:r>
      <w:r w:rsidRPr="007A68E9">
        <w:rPr>
          <w:rFonts w:asciiTheme="minorHAnsi" w:eastAsia="Calibri" w:hAnsiTheme="minorHAnsi"/>
          <w:sz w:val="24"/>
          <w:szCs w:val="24"/>
        </w:rPr>
        <w:t xml:space="preserve">the emotional wellbeing of beneficiaries </w:t>
      </w:r>
      <w:r w:rsidR="00EC53C2" w:rsidRPr="007A68E9">
        <w:rPr>
          <w:rFonts w:asciiTheme="minorHAnsi" w:eastAsia="Calibri" w:hAnsiTheme="minorHAnsi"/>
          <w:sz w:val="24"/>
          <w:szCs w:val="24"/>
        </w:rPr>
        <w:t>using peer support to achieve behavioural change.</w:t>
      </w:r>
      <w:r w:rsidRPr="007A68E9">
        <w:rPr>
          <w:rFonts w:asciiTheme="minorHAnsi" w:eastAsia="Calibri" w:hAnsiTheme="minorHAnsi"/>
          <w:sz w:val="24"/>
          <w:szCs w:val="24"/>
        </w:rPr>
        <w:t xml:space="preserve">  </w:t>
      </w:r>
    </w:p>
    <w:p w14:paraId="5720BFA3" w14:textId="7960F275" w:rsidR="001602C0" w:rsidRPr="007A68E9" w:rsidRDefault="001602C0"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7A68E9">
        <w:rPr>
          <w:rFonts w:asciiTheme="minorHAnsi" w:hAnsiTheme="minorHAnsi" w:cs="Arial"/>
          <w:bCs/>
          <w:sz w:val="24"/>
          <w:szCs w:val="24"/>
        </w:rPr>
        <w:t>Introduce an interactive process for beneficiaries to engage with at least two NAC members after every NAC meeting</w:t>
      </w:r>
      <w:r w:rsidR="00924B57" w:rsidRPr="007A68E9">
        <w:rPr>
          <w:rFonts w:asciiTheme="minorHAnsi" w:hAnsiTheme="minorHAnsi" w:cs="Arial"/>
          <w:bCs/>
          <w:sz w:val="24"/>
          <w:szCs w:val="24"/>
        </w:rPr>
        <w:t>.</w:t>
      </w:r>
    </w:p>
    <w:p w14:paraId="1E64A2DD" w14:textId="7087BE1A" w:rsidR="001602C0" w:rsidRPr="007A68E9" w:rsidRDefault="001602C0"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7A68E9">
        <w:rPr>
          <w:rFonts w:asciiTheme="minorHAnsi" w:hAnsiTheme="minorHAnsi" w:cs="Arial"/>
          <w:bCs/>
          <w:sz w:val="24"/>
          <w:szCs w:val="24"/>
        </w:rPr>
        <w:t>Create a guide for beneficiaries on employing/using Personal Assistants</w:t>
      </w:r>
      <w:r w:rsidR="00D94CBB" w:rsidRPr="007A68E9">
        <w:rPr>
          <w:rFonts w:asciiTheme="minorHAnsi" w:hAnsiTheme="minorHAnsi" w:cs="Arial"/>
          <w:bCs/>
          <w:sz w:val="24"/>
          <w:szCs w:val="24"/>
        </w:rPr>
        <w:t>,</w:t>
      </w:r>
      <w:r w:rsidRPr="007A68E9">
        <w:rPr>
          <w:rFonts w:asciiTheme="minorHAnsi" w:hAnsiTheme="minorHAnsi" w:cs="Arial"/>
          <w:bCs/>
          <w:sz w:val="24"/>
          <w:szCs w:val="24"/>
        </w:rPr>
        <w:t xml:space="preserve"> drawing on the experiences of beneficiaries who have put successful arrangements in place.</w:t>
      </w:r>
    </w:p>
    <w:p w14:paraId="15C8B92D" w14:textId="1C81907C" w:rsidR="001602C0" w:rsidRPr="007A68E9" w:rsidRDefault="001602C0"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7A68E9">
        <w:rPr>
          <w:rFonts w:asciiTheme="minorHAnsi" w:hAnsiTheme="minorHAnsi" w:cs="Arial"/>
          <w:bCs/>
          <w:sz w:val="24"/>
          <w:szCs w:val="24"/>
        </w:rPr>
        <w:t xml:space="preserve">Increase the proportion of </w:t>
      </w:r>
      <w:r w:rsidR="00D94CBB" w:rsidRPr="007A68E9">
        <w:rPr>
          <w:rFonts w:asciiTheme="minorHAnsi" w:hAnsiTheme="minorHAnsi" w:cs="Arial"/>
          <w:bCs/>
          <w:sz w:val="24"/>
          <w:szCs w:val="24"/>
        </w:rPr>
        <w:t xml:space="preserve">audio and video </w:t>
      </w:r>
      <w:r w:rsidRPr="007A68E9">
        <w:rPr>
          <w:rFonts w:asciiTheme="minorHAnsi" w:hAnsiTheme="minorHAnsi" w:cs="Arial"/>
          <w:bCs/>
          <w:sz w:val="24"/>
          <w:szCs w:val="24"/>
        </w:rPr>
        <w:t>content on our website in order to increase accessibility.</w:t>
      </w:r>
    </w:p>
    <w:p w14:paraId="5074B25D" w14:textId="4F1BE9A7" w:rsidR="001602C0" w:rsidRPr="007A68E9" w:rsidRDefault="001602C0" w:rsidP="001602C0">
      <w:pPr>
        <w:pStyle w:val="ListParagraph"/>
        <w:numPr>
          <w:ilvl w:val="0"/>
          <w:numId w:val="32"/>
        </w:numPr>
        <w:spacing w:after="120" w:line="240" w:lineRule="auto"/>
        <w:ind w:left="714" w:hanging="357"/>
        <w:contextualSpacing w:val="0"/>
        <w:rPr>
          <w:rFonts w:asciiTheme="minorHAnsi" w:hAnsiTheme="minorHAnsi" w:cs="Arial"/>
          <w:bCs/>
          <w:sz w:val="24"/>
          <w:szCs w:val="24"/>
        </w:rPr>
      </w:pPr>
      <w:r w:rsidRPr="007A68E9">
        <w:rPr>
          <w:rFonts w:asciiTheme="minorHAnsi" w:hAnsiTheme="minorHAnsi" w:cs="Arial"/>
          <w:bCs/>
          <w:sz w:val="24"/>
          <w:szCs w:val="24"/>
        </w:rPr>
        <w:t>Undertake a review of the communication needs of all our be</w:t>
      </w:r>
      <w:r w:rsidR="00EB060B" w:rsidRPr="007A68E9">
        <w:rPr>
          <w:rFonts w:asciiTheme="minorHAnsi" w:hAnsiTheme="minorHAnsi" w:cs="Arial"/>
          <w:bCs/>
          <w:sz w:val="24"/>
          <w:szCs w:val="24"/>
        </w:rPr>
        <w:t xml:space="preserve">neficiaries who lack capacity, </w:t>
      </w:r>
      <w:r w:rsidRPr="007A68E9">
        <w:rPr>
          <w:rFonts w:asciiTheme="minorHAnsi" w:hAnsiTheme="minorHAnsi"/>
          <w:sz w:val="24"/>
          <w:szCs w:val="24"/>
        </w:rPr>
        <w:t>drawing on the expertise of a speech and language therapist, to help them articulate their needs and preferences as part of the care planning process.</w:t>
      </w:r>
    </w:p>
    <w:p w14:paraId="27EB6A69" w14:textId="77777777" w:rsidR="001602C0" w:rsidRPr="007A68E9" w:rsidRDefault="001602C0" w:rsidP="001602C0">
      <w:pPr>
        <w:pStyle w:val="ListParagraph"/>
        <w:numPr>
          <w:ilvl w:val="0"/>
          <w:numId w:val="32"/>
        </w:numPr>
        <w:spacing w:line="240" w:lineRule="auto"/>
        <w:rPr>
          <w:rFonts w:asciiTheme="minorHAnsi" w:hAnsiTheme="minorHAnsi" w:cs="Arial"/>
          <w:bCs/>
          <w:sz w:val="24"/>
          <w:szCs w:val="24"/>
        </w:rPr>
      </w:pPr>
      <w:r w:rsidRPr="007A68E9">
        <w:rPr>
          <w:rFonts w:asciiTheme="minorHAnsi" w:hAnsiTheme="minorHAnsi" w:cs="Arial"/>
          <w:bCs/>
          <w:sz w:val="24"/>
          <w:szCs w:val="24"/>
        </w:rPr>
        <w:t>Fully implement all the priority recommendations of our IT Security review.</w:t>
      </w:r>
    </w:p>
    <w:p w14:paraId="0D5E02B5" w14:textId="77777777" w:rsidR="001602C0" w:rsidRPr="00C15E3E" w:rsidRDefault="001602C0" w:rsidP="00C15E3E">
      <w:pPr>
        <w:spacing w:after="120" w:line="240" w:lineRule="atLeast"/>
        <w:rPr>
          <w:rFonts w:asciiTheme="minorHAnsi" w:hAnsiTheme="minorHAnsi" w:cs="Arial"/>
          <w:b/>
          <w:bCs/>
          <w:color w:val="442359"/>
          <w:sz w:val="28"/>
          <w:szCs w:val="28"/>
          <w:u w:val="single"/>
        </w:rPr>
      </w:pPr>
      <w:r w:rsidRPr="00C15E3E">
        <w:rPr>
          <w:rFonts w:asciiTheme="minorHAnsi" w:hAnsiTheme="minorHAnsi" w:cs="Arial"/>
          <w:b/>
          <w:bCs/>
          <w:color w:val="442359"/>
          <w:sz w:val="28"/>
          <w:szCs w:val="28"/>
          <w:u w:val="single"/>
        </w:rPr>
        <w:t>Financial Review</w:t>
      </w:r>
    </w:p>
    <w:p w14:paraId="7587CF60" w14:textId="2A6706BC" w:rsidR="00CC5D94" w:rsidRDefault="00CC5D94" w:rsidP="00E540A0">
      <w:pPr>
        <w:pStyle w:val="BodyText"/>
        <w:spacing w:after="180" w:line="240" w:lineRule="atLeast"/>
        <w:rPr>
          <w:rFonts w:asciiTheme="minorHAnsi" w:hAnsiTheme="minorHAnsi" w:cs="Arial"/>
          <w:sz w:val="24"/>
          <w:szCs w:val="24"/>
        </w:rPr>
      </w:pPr>
      <w:r>
        <w:rPr>
          <w:rFonts w:asciiTheme="minorHAnsi" w:hAnsiTheme="minorHAnsi" w:cs="Arial"/>
          <w:sz w:val="24"/>
          <w:szCs w:val="24"/>
        </w:rPr>
        <w:t>At the year end the Trust balance sheet had strengthened with net assets increasing by just over 3% to £16</w:t>
      </w:r>
      <w:r w:rsidR="000F00DE">
        <w:rPr>
          <w:rFonts w:asciiTheme="minorHAnsi" w:hAnsiTheme="minorHAnsi" w:cs="Arial"/>
          <w:sz w:val="24"/>
          <w:szCs w:val="24"/>
        </w:rPr>
        <w:t>4.0</w:t>
      </w:r>
      <w:r>
        <w:rPr>
          <w:rFonts w:asciiTheme="minorHAnsi" w:hAnsiTheme="minorHAnsi" w:cs="Arial"/>
          <w:sz w:val="24"/>
          <w:szCs w:val="24"/>
        </w:rPr>
        <w:t>M from the prior year position (</w:t>
      </w:r>
      <w:r w:rsidR="00A90556">
        <w:rPr>
          <w:rFonts w:asciiTheme="minorHAnsi" w:hAnsiTheme="minorHAnsi" w:cs="Arial"/>
          <w:sz w:val="24"/>
          <w:szCs w:val="24"/>
        </w:rPr>
        <w:t xml:space="preserve">2017: </w:t>
      </w:r>
      <w:r>
        <w:rPr>
          <w:rFonts w:asciiTheme="minorHAnsi" w:hAnsiTheme="minorHAnsi" w:cs="Arial"/>
          <w:sz w:val="24"/>
          <w:szCs w:val="24"/>
        </w:rPr>
        <w:t>£158.9M).</w:t>
      </w:r>
    </w:p>
    <w:p w14:paraId="6A9A94F2" w14:textId="7B0953DC" w:rsidR="001602C0" w:rsidRDefault="001602C0" w:rsidP="00E540A0">
      <w:pPr>
        <w:pStyle w:val="BodyText"/>
        <w:spacing w:after="180" w:line="240" w:lineRule="atLeast"/>
        <w:rPr>
          <w:rFonts w:asciiTheme="minorHAnsi" w:hAnsiTheme="minorHAnsi" w:cs="Arial"/>
          <w:sz w:val="24"/>
          <w:szCs w:val="24"/>
        </w:rPr>
      </w:pPr>
      <w:r w:rsidRPr="00C15E3E">
        <w:rPr>
          <w:rFonts w:asciiTheme="minorHAnsi" w:hAnsiTheme="minorHAnsi" w:cs="Arial"/>
          <w:sz w:val="24"/>
          <w:szCs w:val="24"/>
        </w:rPr>
        <w:t>During the year the Trust allocated grants totalling £29.2M (2017: £55.8M) to its beneficiaries. The Trust received donations from Diageo</w:t>
      </w:r>
      <w:r w:rsidR="0085683E" w:rsidRPr="00C15E3E">
        <w:rPr>
          <w:rFonts w:asciiTheme="minorHAnsi" w:hAnsiTheme="minorHAnsi" w:cs="Arial"/>
          <w:sz w:val="24"/>
          <w:szCs w:val="24"/>
        </w:rPr>
        <w:t xml:space="preserve"> plc</w:t>
      </w:r>
      <w:r w:rsidRPr="00C15E3E">
        <w:rPr>
          <w:rFonts w:asciiTheme="minorHAnsi" w:hAnsiTheme="minorHAnsi" w:cs="Arial"/>
          <w:sz w:val="24"/>
          <w:szCs w:val="24"/>
        </w:rPr>
        <w:t xml:space="preserve"> totalling £12.5M (2017: £39.4M).  </w:t>
      </w:r>
    </w:p>
    <w:p w14:paraId="4750F4C9" w14:textId="01740BA7" w:rsidR="001602C0" w:rsidRPr="00C15E3E" w:rsidRDefault="001602C0" w:rsidP="001602C0">
      <w:pPr>
        <w:pStyle w:val="BodyText"/>
        <w:spacing w:after="180" w:line="240" w:lineRule="atLeast"/>
        <w:rPr>
          <w:rFonts w:asciiTheme="minorHAnsi" w:hAnsiTheme="minorHAnsi" w:cs="Arial"/>
          <w:sz w:val="24"/>
          <w:szCs w:val="24"/>
        </w:rPr>
      </w:pPr>
      <w:r w:rsidRPr="00C15E3E">
        <w:rPr>
          <w:rFonts w:asciiTheme="minorHAnsi" w:hAnsiTheme="minorHAnsi" w:cs="Arial"/>
          <w:sz w:val="24"/>
          <w:szCs w:val="24"/>
        </w:rPr>
        <w:t>Health Grant funding from the four Health and Social Care Departments of the United Kingdom totall</w:t>
      </w:r>
      <w:r w:rsidR="005C0592">
        <w:rPr>
          <w:rFonts w:asciiTheme="minorHAnsi" w:hAnsiTheme="minorHAnsi" w:cs="Arial"/>
          <w:sz w:val="24"/>
          <w:szCs w:val="24"/>
        </w:rPr>
        <w:t>ed</w:t>
      </w:r>
      <w:r w:rsidRPr="00C15E3E">
        <w:rPr>
          <w:rFonts w:asciiTheme="minorHAnsi" w:hAnsiTheme="minorHAnsi" w:cs="Arial"/>
          <w:sz w:val="24"/>
          <w:szCs w:val="24"/>
        </w:rPr>
        <w:t xml:space="preserve"> £10.9M (2017: £8.9M). As Health Grant funding is provided for specific, agreed health and wellbeing purposes, these are accounted for by the Trust as funds restricted for these purposes.  </w:t>
      </w:r>
    </w:p>
    <w:p w14:paraId="07CB99F1" w14:textId="6417F56B" w:rsidR="001602C0" w:rsidRPr="008E23DF" w:rsidRDefault="001602C0" w:rsidP="001602C0">
      <w:pPr>
        <w:spacing w:after="240" w:line="240" w:lineRule="auto"/>
        <w:rPr>
          <w:rFonts w:asciiTheme="minorHAnsi" w:hAnsiTheme="minorHAnsi" w:cs="Arial"/>
          <w:sz w:val="24"/>
          <w:szCs w:val="24"/>
          <w:lang w:eastAsia="en-GB"/>
        </w:rPr>
      </w:pPr>
      <w:r w:rsidRPr="00280D81">
        <w:rPr>
          <w:rFonts w:asciiTheme="minorHAnsi" w:hAnsiTheme="minorHAnsi" w:cs="Arial"/>
          <w:sz w:val="24"/>
          <w:szCs w:val="24"/>
          <w:lang w:eastAsia="en-GB"/>
        </w:rPr>
        <w:t xml:space="preserve">The Trust is committed to managing its resources effectively and achieving value for money. </w:t>
      </w:r>
      <w:r>
        <w:rPr>
          <w:rFonts w:asciiTheme="minorHAnsi" w:hAnsiTheme="minorHAnsi" w:cs="Arial"/>
          <w:sz w:val="24"/>
          <w:szCs w:val="24"/>
          <w:lang w:eastAsia="en-GB"/>
        </w:rPr>
        <w:t xml:space="preserve"> </w:t>
      </w:r>
      <w:r w:rsidRPr="00280D81">
        <w:rPr>
          <w:rFonts w:asciiTheme="minorHAnsi" w:hAnsiTheme="minorHAnsi" w:cs="Arial"/>
          <w:sz w:val="24"/>
          <w:szCs w:val="24"/>
          <w:lang w:eastAsia="en-GB"/>
        </w:rPr>
        <w:t xml:space="preserve">It operates a robust budget management system which involves regular review of activity and expenditure by budget holders, oversight by the Management </w:t>
      </w:r>
      <w:r>
        <w:rPr>
          <w:rFonts w:asciiTheme="minorHAnsi" w:hAnsiTheme="minorHAnsi" w:cs="Arial"/>
          <w:sz w:val="24"/>
          <w:szCs w:val="24"/>
          <w:lang w:eastAsia="en-GB"/>
        </w:rPr>
        <w:t>T</w:t>
      </w:r>
      <w:r w:rsidRPr="00280D81">
        <w:rPr>
          <w:rFonts w:asciiTheme="minorHAnsi" w:hAnsiTheme="minorHAnsi" w:cs="Arial"/>
          <w:sz w:val="24"/>
          <w:szCs w:val="24"/>
          <w:lang w:eastAsia="en-GB"/>
        </w:rPr>
        <w:t xml:space="preserve">eam and regular reporting of variances to the </w:t>
      </w:r>
      <w:r>
        <w:rPr>
          <w:rFonts w:asciiTheme="minorHAnsi" w:hAnsiTheme="minorHAnsi" w:cs="Arial"/>
          <w:sz w:val="24"/>
          <w:szCs w:val="24"/>
          <w:lang w:eastAsia="en-GB"/>
        </w:rPr>
        <w:t xml:space="preserve">Trust’s </w:t>
      </w:r>
      <w:r w:rsidRPr="00280D81">
        <w:rPr>
          <w:rFonts w:asciiTheme="minorHAnsi" w:hAnsiTheme="minorHAnsi" w:cs="Arial"/>
          <w:sz w:val="24"/>
          <w:szCs w:val="24"/>
          <w:lang w:eastAsia="en-GB"/>
        </w:rPr>
        <w:t>Finance Committee.</w:t>
      </w:r>
      <w:r>
        <w:rPr>
          <w:rFonts w:asciiTheme="minorHAnsi" w:hAnsiTheme="minorHAnsi" w:cs="Arial"/>
          <w:sz w:val="24"/>
          <w:szCs w:val="24"/>
          <w:lang w:eastAsia="en-GB"/>
        </w:rPr>
        <w:t xml:space="preserve">  </w:t>
      </w:r>
      <w:r w:rsidR="007F5A76" w:rsidRPr="007A68E9">
        <w:rPr>
          <w:rFonts w:asciiTheme="minorHAnsi" w:hAnsiTheme="minorHAnsi" w:cs="Arial"/>
          <w:sz w:val="24"/>
          <w:szCs w:val="24"/>
          <w:lang w:eastAsia="en-GB"/>
        </w:rPr>
        <w:t>T</w:t>
      </w:r>
      <w:r w:rsidRPr="007A68E9">
        <w:rPr>
          <w:rFonts w:asciiTheme="minorHAnsi" w:hAnsiTheme="minorHAnsi" w:cs="Arial"/>
          <w:sz w:val="24"/>
          <w:szCs w:val="24"/>
          <w:lang w:eastAsia="en-GB"/>
        </w:rPr>
        <w:t>he Trust does not actively fundraise</w:t>
      </w:r>
      <w:r w:rsidR="007F5A76" w:rsidRPr="007A68E9">
        <w:rPr>
          <w:rFonts w:asciiTheme="minorHAnsi" w:hAnsiTheme="minorHAnsi" w:cs="Arial"/>
          <w:sz w:val="24"/>
          <w:szCs w:val="24"/>
          <w:lang w:eastAsia="en-GB"/>
        </w:rPr>
        <w:t xml:space="preserve"> and </w:t>
      </w:r>
      <w:r w:rsidRPr="007A68E9">
        <w:rPr>
          <w:rFonts w:asciiTheme="minorHAnsi" w:hAnsiTheme="minorHAnsi" w:cs="Arial"/>
          <w:sz w:val="24"/>
          <w:szCs w:val="24"/>
          <w:lang w:eastAsia="en-GB"/>
        </w:rPr>
        <w:t>100% of its resources are utilised for charita</w:t>
      </w:r>
      <w:r w:rsidR="0002794C" w:rsidRPr="007A68E9">
        <w:rPr>
          <w:rFonts w:asciiTheme="minorHAnsi" w:hAnsiTheme="minorHAnsi" w:cs="Arial"/>
          <w:sz w:val="24"/>
          <w:szCs w:val="24"/>
          <w:lang w:eastAsia="en-GB"/>
        </w:rPr>
        <w:t>ble purposes</w:t>
      </w:r>
      <w:r w:rsidR="007F422B" w:rsidRPr="007A68E9">
        <w:rPr>
          <w:rFonts w:asciiTheme="minorHAnsi" w:hAnsiTheme="minorHAnsi" w:cs="Arial"/>
          <w:sz w:val="24"/>
          <w:szCs w:val="24"/>
          <w:lang w:eastAsia="en-GB"/>
        </w:rPr>
        <w:t xml:space="preserve">, including  </w:t>
      </w:r>
      <w:r w:rsidR="00E843F4">
        <w:rPr>
          <w:rFonts w:asciiTheme="minorHAnsi" w:hAnsiTheme="minorHAnsi" w:cs="Arial"/>
          <w:sz w:val="24"/>
          <w:szCs w:val="24"/>
          <w:lang w:eastAsia="en-GB"/>
        </w:rPr>
        <w:t xml:space="preserve">charity </w:t>
      </w:r>
      <w:r w:rsidR="007F422B">
        <w:rPr>
          <w:rFonts w:asciiTheme="minorHAnsi" w:hAnsiTheme="minorHAnsi" w:cs="Arial"/>
          <w:sz w:val="24"/>
          <w:szCs w:val="24"/>
          <w:lang w:eastAsia="en-GB"/>
        </w:rPr>
        <w:t>governance</w:t>
      </w:r>
      <w:r w:rsidR="0002794C">
        <w:rPr>
          <w:rFonts w:asciiTheme="minorHAnsi" w:hAnsiTheme="minorHAnsi" w:cs="Arial"/>
          <w:sz w:val="24"/>
          <w:szCs w:val="24"/>
          <w:lang w:eastAsia="en-GB"/>
        </w:rPr>
        <w:t xml:space="preserve"> During 2017/18, 96</w:t>
      </w:r>
      <w:r>
        <w:rPr>
          <w:rFonts w:asciiTheme="minorHAnsi" w:hAnsiTheme="minorHAnsi" w:cs="Arial"/>
          <w:sz w:val="24"/>
          <w:szCs w:val="24"/>
          <w:lang w:eastAsia="en-GB"/>
        </w:rPr>
        <w:t>% of outgoing resources were in the form of Grants to our b</w:t>
      </w:r>
      <w:r w:rsidR="0002794C">
        <w:rPr>
          <w:rFonts w:asciiTheme="minorHAnsi" w:hAnsiTheme="minorHAnsi" w:cs="Arial"/>
          <w:sz w:val="24"/>
          <w:szCs w:val="24"/>
          <w:lang w:eastAsia="en-GB"/>
        </w:rPr>
        <w:t>eneficiaries. Of the remaining 4%</w:t>
      </w:r>
      <w:r>
        <w:rPr>
          <w:rFonts w:asciiTheme="minorHAnsi" w:hAnsiTheme="minorHAnsi" w:cs="Arial"/>
          <w:sz w:val="24"/>
          <w:szCs w:val="24"/>
          <w:lang w:eastAsia="en-GB"/>
        </w:rPr>
        <w:t xml:space="preserve"> of expenditure, </w:t>
      </w:r>
      <w:r w:rsidR="00E70767">
        <w:rPr>
          <w:rFonts w:asciiTheme="minorHAnsi" w:hAnsiTheme="minorHAnsi" w:cs="Arial"/>
          <w:sz w:val="24"/>
          <w:szCs w:val="24"/>
          <w:lang w:eastAsia="en-GB"/>
        </w:rPr>
        <w:t>over half</w:t>
      </w:r>
      <w:r>
        <w:rPr>
          <w:rFonts w:asciiTheme="minorHAnsi" w:hAnsiTheme="minorHAnsi" w:cs="Arial"/>
          <w:sz w:val="24"/>
          <w:szCs w:val="24"/>
          <w:lang w:eastAsia="en-GB"/>
        </w:rPr>
        <w:t xml:space="preserve"> (excluding investment management fees) was spent on providing health and wellbeing support and financial guidance directly to our beneficiaries by our staff and volunteers.  The balance of resources was utilised to administer beneficiary Grants, assess new claims, ensure effective governance of the Trust, and deliver agreed campaigning activities.</w:t>
      </w:r>
    </w:p>
    <w:p w14:paraId="4EEAFFDF" w14:textId="77777777" w:rsidR="001602C0" w:rsidRPr="00995E43" w:rsidRDefault="001602C0" w:rsidP="001602C0">
      <w:pPr>
        <w:pStyle w:val="NormalWeb"/>
        <w:spacing w:before="0" w:beforeAutospacing="0" w:after="120" w:afterAutospacing="0"/>
        <w:rPr>
          <w:rFonts w:asciiTheme="minorHAnsi" w:hAnsiTheme="minorHAnsi" w:cs="Arial"/>
          <w:b/>
          <w:color w:val="442359"/>
        </w:rPr>
      </w:pPr>
      <w:r w:rsidRPr="00995E43">
        <w:rPr>
          <w:rFonts w:asciiTheme="minorHAnsi" w:hAnsiTheme="minorHAnsi" w:cs="Arial"/>
          <w:b/>
          <w:color w:val="442359"/>
        </w:rPr>
        <w:t>Investment Objectives</w:t>
      </w:r>
    </w:p>
    <w:p w14:paraId="2866F3FE" w14:textId="77777777" w:rsidR="001602C0" w:rsidRDefault="001602C0" w:rsidP="001602C0">
      <w:pPr>
        <w:pStyle w:val="NormalWeb"/>
        <w:spacing w:before="0" w:beforeAutospacing="0" w:after="180" w:afterAutospacing="0"/>
        <w:rPr>
          <w:rFonts w:asciiTheme="minorHAnsi" w:hAnsiTheme="minorHAnsi" w:cs="Arial"/>
        </w:rPr>
      </w:pPr>
      <w:r w:rsidRPr="00976555">
        <w:rPr>
          <w:rFonts w:asciiTheme="minorHAnsi" w:hAnsiTheme="minorHAnsi" w:cs="Arial"/>
        </w:rPr>
        <w:t xml:space="preserve">The principal objective of the investment policy is to generate sufficient income and capital return to enable the </w:t>
      </w:r>
      <w:r>
        <w:rPr>
          <w:rFonts w:asciiTheme="minorHAnsi" w:hAnsiTheme="minorHAnsi" w:cs="Arial"/>
        </w:rPr>
        <w:t>t</w:t>
      </w:r>
      <w:r w:rsidRPr="00976555">
        <w:rPr>
          <w:rFonts w:asciiTheme="minorHAnsi" w:hAnsiTheme="minorHAnsi" w:cs="Arial"/>
        </w:rPr>
        <w:t xml:space="preserve">rustees to pay </w:t>
      </w:r>
      <w:r>
        <w:rPr>
          <w:rFonts w:asciiTheme="minorHAnsi" w:hAnsiTheme="minorHAnsi" w:cs="Arial"/>
        </w:rPr>
        <w:t>A</w:t>
      </w:r>
      <w:r w:rsidRPr="00976555">
        <w:rPr>
          <w:rFonts w:asciiTheme="minorHAnsi" w:hAnsiTheme="minorHAnsi" w:cs="Arial"/>
        </w:rPr>
        <w:t xml:space="preserve">nnual </w:t>
      </w:r>
      <w:r>
        <w:rPr>
          <w:rFonts w:asciiTheme="minorHAnsi" w:hAnsiTheme="minorHAnsi" w:cs="Arial"/>
        </w:rPr>
        <w:t>G</w:t>
      </w:r>
      <w:r w:rsidRPr="00976555">
        <w:rPr>
          <w:rFonts w:asciiTheme="minorHAnsi" w:hAnsiTheme="minorHAnsi" w:cs="Arial"/>
        </w:rPr>
        <w:t xml:space="preserve">rants for the </w:t>
      </w:r>
      <w:r>
        <w:rPr>
          <w:rFonts w:asciiTheme="minorHAnsi" w:hAnsiTheme="minorHAnsi" w:cs="Arial"/>
        </w:rPr>
        <w:t xml:space="preserve">entire </w:t>
      </w:r>
      <w:r w:rsidRPr="00976555">
        <w:rPr>
          <w:rFonts w:asciiTheme="minorHAnsi" w:hAnsiTheme="minorHAnsi" w:cs="Arial"/>
        </w:rPr>
        <w:t>lives of the beneficiaries.</w:t>
      </w:r>
    </w:p>
    <w:p w14:paraId="10AB12EB" w14:textId="5F1866E2" w:rsidR="001602C0" w:rsidRDefault="001602C0" w:rsidP="001602C0">
      <w:pPr>
        <w:pStyle w:val="NormalWeb"/>
        <w:spacing w:before="0" w:beforeAutospacing="0" w:after="180" w:afterAutospacing="0"/>
        <w:rPr>
          <w:rFonts w:asciiTheme="minorHAnsi" w:hAnsiTheme="minorHAnsi" w:cs="Arial"/>
        </w:rPr>
      </w:pPr>
      <w:r>
        <w:rPr>
          <w:rFonts w:asciiTheme="minorHAnsi" w:hAnsiTheme="minorHAnsi" w:cs="Arial"/>
        </w:rPr>
        <w:t>The social, environmental and ethical nature of Trust investments has been considered at length by the trustees.  As some of the Trust investments are held within pooled funds</w:t>
      </w:r>
      <w:r w:rsidR="00D94CBB">
        <w:rPr>
          <w:rFonts w:asciiTheme="minorHAnsi" w:hAnsiTheme="minorHAnsi" w:cs="Arial"/>
        </w:rPr>
        <w:t>,</w:t>
      </w:r>
      <w:r>
        <w:rPr>
          <w:rFonts w:asciiTheme="minorHAnsi" w:hAnsiTheme="minorHAnsi" w:cs="Arial"/>
        </w:rPr>
        <w:t xml:space="preserve"> the decisions regarding the selection of investments is entrusted to the investment managers</w:t>
      </w:r>
      <w:r w:rsidR="00D94CBB">
        <w:rPr>
          <w:rFonts w:asciiTheme="minorHAnsi" w:hAnsiTheme="minorHAnsi" w:cs="Arial"/>
        </w:rPr>
        <w:t>,</w:t>
      </w:r>
      <w:r>
        <w:rPr>
          <w:rFonts w:asciiTheme="minorHAnsi" w:hAnsiTheme="minorHAnsi" w:cs="Arial"/>
        </w:rPr>
        <w:t xml:space="preserve"> who each act within </w:t>
      </w:r>
      <w:r w:rsidR="007F5A76" w:rsidRPr="007A68E9">
        <w:rPr>
          <w:rFonts w:asciiTheme="minorHAnsi" w:hAnsiTheme="minorHAnsi" w:cs="Arial"/>
        </w:rPr>
        <w:t xml:space="preserve">agreed </w:t>
      </w:r>
      <w:r w:rsidRPr="00A35AE7">
        <w:rPr>
          <w:rFonts w:asciiTheme="minorHAnsi" w:hAnsiTheme="minorHAnsi" w:cs="Arial"/>
        </w:rPr>
        <w:t xml:space="preserve">guidelines. </w:t>
      </w:r>
    </w:p>
    <w:p w14:paraId="78096D2B" w14:textId="77777777" w:rsidR="00B03C75" w:rsidRDefault="001602C0" w:rsidP="001602C0">
      <w:pPr>
        <w:spacing w:after="18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In line with </w:t>
      </w:r>
      <w:r w:rsidRPr="00976555">
        <w:rPr>
          <w:rFonts w:asciiTheme="minorHAnsi" w:hAnsiTheme="minorHAnsi" w:cs="Arial"/>
          <w:sz w:val="24"/>
          <w:szCs w:val="24"/>
          <w:lang w:eastAsia="en-GB"/>
        </w:rPr>
        <w:t xml:space="preserve">the </w:t>
      </w:r>
      <w:r>
        <w:rPr>
          <w:rFonts w:asciiTheme="minorHAnsi" w:hAnsiTheme="minorHAnsi" w:cs="Arial"/>
          <w:sz w:val="24"/>
          <w:szCs w:val="24"/>
          <w:lang w:eastAsia="en-GB"/>
        </w:rPr>
        <w:t>new C</w:t>
      </w:r>
      <w:r w:rsidRPr="00976555">
        <w:rPr>
          <w:rFonts w:asciiTheme="minorHAnsi" w:hAnsiTheme="minorHAnsi" w:cs="Arial"/>
          <w:sz w:val="24"/>
          <w:szCs w:val="24"/>
          <w:lang w:eastAsia="en-GB"/>
        </w:rPr>
        <w:t xml:space="preserve">ovenant with Diageo, the </w:t>
      </w:r>
      <w:r>
        <w:rPr>
          <w:rFonts w:asciiTheme="minorHAnsi" w:hAnsiTheme="minorHAnsi" w:cs="Arial"/>
          <w:sz w:val="24"/>
          <w:szCs w:val="24"/>
          <w:lang w:eastAsia="en-GB"/>
        </w:rPr>
        <w:t>t</w:t>
      </w:r>
      <w:r w:rsidRPr="00976555">
        <w:rPr>
          <w:rFonts w:asciiTheme="minorHAnsi" w:hAnsiTheme="minorHAnsi" w:cs="Arial"/>
          <w:sz w:val="24"/>
          <w:szCs w:val="24"/>
          <w:lang w:eastAsia="en-GB"/>
        </w:rPr>
        <w:t xml:space="preserve">rustees adopted an investment policy which </w:t>
      </w:r>
      <w:r>
        <w:rPr>
          <w:rFonts w:asciiTheme="minorHAnsi" w:hAnsiTheme="minorHAnsi" w:cs="Arial"/>
          <w:sz w:val="24"/>
          <w:szCs w:val="24"/>
          <w:lang w:eastAsia="en-GB"/>
        </w:rPr>
        <w:t>will</w:t>
      </w:r>
      <w:r w:rsidRPr="00976555">
        <w:rPr>
          <w:rFonts w:asciiTheme="minorHAnsi" w:hAnsiTheme="minorHAnsi" w:cs="Arial"/>
          <w:sz w:val="24"/>
          <w:szCs w:val="24"/>
          <w:lang w:eastAsia="en-GB"/>
        </w:rPr>
        <w:t xml:space="preserve"> reduce the investment risk </w:t>
      </w:r>
      <w:r>
        <w:rPr>
          <w:rFonts w:asciiTheme="minorHAnsi" w:hAnsiTheme="minorHAnsi" w:cs="Arial"/>
          <w:sz w:val="24"/>
          <w:szCs w:val="24"/>
          <w:lang w:eastAsia="en-GB"/>
        </w:rPr>
        <w:t xml:space="preserve">of the portfolio </w:t>
      </w:r>
      <w:r w:rsidRPr="00976555">
        <w:rPr>
          <w:rFonts w:asciiTheme="minorHAnsi" w:hAnsiTheme="minorHAnsi" w:cs="Arial"/>
          <w:sz w:val="24"/>
          <w:szCs w:val="24"/>
          <w:lang w:eastAsia="en-GB"/>
        </w:rPr>
        <w:t>over the lifetime of the Trust.</w:t>
      </w:r>
      <w:r>
        <w:rPr>
          <w:rFonts w:asciiTheme="minorHAnsi" w:hAnsiTheme="minorHAnsi" w:cs="Arial"/>
          <w:sz w:val="24"/>
          <w:szCs w:val="24"/>
          <w:lang w:eastAsia="en-GB"/>
        </w:rPr>
        <w:t xml:space="preserve"> </w:t>
      </w:r>
      <w:r w:rsidRPr="00976555">
        <w:rPr>
          <w:rFonts w:asciiTheme="minorHAnsi" w:hAnsiTheme="minorHAnsi" w:cs="Arial"/>
          <w:sz w:val="24"/>
          <w:szCs w:val="24"/>
          <w:lang w:eastAsia="en-GB"/>
        </w:rPr>
        <w:t xml:space="preserve"> </w:t>
      </w:r>
    </w:p>
    <w:p w14:paraId="02FC0C54" w14:textId="77777777" w:rsidR="00B03C75" w:rsidRDefault="001602C0" w:rsidP="00B03C75">
      <w:pPr>
        <w:spacing w:after="180" w:line="240" w:lineRule="auto"/>
        <w:rPr>
          <w:rFonts w:asciiTheme="minorHAnsi" w:hAnsiTheme="minorHAnsi" w:cs="Arial"/>
          <w:sz w:val="24"/>
          <w:szCs w:val="24"/>
          <w:lang w:eastAsia="en-GB"/>
        </w:rPr>
      </w:pPr>
      <w:r w:rsidRPr="007A68E9">
        <w:rPr>
          <w:rFonts w:asciiTheme="minorHAnsi" w:hAnsiTheme="minorHAnsi" w:cs="Arial"/>
          <w:sz w:val="24"/>
          <w:szCs w:val="24"/>
          <w:lang w:eastAsia="en-GB"/>
        </w:rPr>
        <w:lastRenderedPageBreak/>
        <w:t xml:space="preserve">In order to achieve this, from 2017 to 2022 the trustees will continue to try to achieve higher returns </w:t>
      </w:r>
      <w:r w:rsidR="001C2D63" w:rsidRPr="007A68E9">
        <w:rPr>
          <w:rFonts w:asciiTheme="minorHAnsi" w:hAnsiTheme="minorHAnsi" w:cs="Arial"/>
          <w:sz w:val="24"/>
          <w:szCs w:val="24"/>
          <w:lang w:eastAsia="en-GB"/>
        </w:rPr>
        <w:t>with</w:t>
      </w:r>
      <w:r w:rsidR="00983373" w:rsidRPr="007A68E9">
        <w:rPr>
          <w:rFonts w:asciiTheme="minorHAnsi" w:hAnsiTheme="minorHAnsi" w:cs="Arial"/>
          <w:sz w:val="24"/>
          <w:szCs w:val="24"/>
          <w:lang w:eastAsia="en-GB"/>
        </w:rPr>
        <w:t xml:space="preserve"> </w:t>
      </w:r>
      <w:r w:rsidR="007F5A76" w:rsidRPr="007A68E9">
        <w:rPr>
          <w:rFonts w:asciiTheme="minorHAnsi" w:hAnsiTheme="minorHAnsi" w:cs="Arial"/>
          <w:sz w:val="24"/>
          <w:szCs w:val="24"/>
          <w:lang w:eastAsia="en-GB"/>
        </w:rPr>
        <w:t xml:space="preserve">a </w:t>
      </w:r>
      <w:r w:rsidRPr="007A68E9">
        <w:rPr>
          <w:rFonts w:asciiTheme="minorHAnsi" w:hAnsiTheme="minorHAnsi" w:cs="Arial"/>
          <w:sz w:val="24"/>
          <w:szCs w:val="24"/>
          <w:lang w:eastAsia="en-GB"/>
        </w:rPr>
        <w:t>given amount of risk</w:t>
      </w:r>
      <w:r w:rsidR="001C2D63" w:rsidRPr="007A68E9">
        <w:rPr>
          <w:rFonts w:asciiTheme="minorHAnsi" w:hAnsiTheme="minorHAnsi" w:cs="Arial"/>
          <w:sz w:val="24"/>
          <w:szCs w:val="24"/>
          <w:lang w:eastAsia="en-GB"/>
        </w:rPr>
        <w:t>, managed</w:t>
      </w:r>
      <w:r w:rsidRPr="007A68E9">
        <w:rPr>
          <w:rFonts w:asciiTheme="minorHAnsi" w:hAnsiTheme="minorHAnsi" w:cs="Arial"/>
          <w:sz w:val="24"/>
          <w:szCs w:val="24"/>
          <w:lang w:eastAsia="en-GB"/>
        </w:rPr>
        <w:t xml:space="preserve"> through diversification and active management of the investment assets.  </w:t>
      </w:r>
      <w:r>
        <w:rPr>
          <w:rFonts w:asciiTheme="minorHAnsi" w:hAnsiTheme="minorHAnsi" w:cs="Arial"/>
          <w:sz w:val="24"/>
          <w:szCs w:val="24"/>
          <w:lang w:eastAsia="en-GB"/>
        </w:rPr>
        <w:t>From</w:t>
      </w:r>
      <w:r w:rsidRPr="00976555">
        <w:rPr>
          <w:rFonts w:asciiTheme="minorHAnsi" w:hAnsiTheme="minorHAnsi" w:cs="Arial"/>
          <w:sz w:val="24"/>
          <w:szCs w:val="24"/>
          <w:lang w:eastAsia="en-GB"/>
        </w:rPr>
        <w:t xml:space="preserve"> 2022 to 2032 </w:t>
      </w:r>
      <w:r>
        <w:rPr>
          <w:rFonts w:asciiTheme="minorHAnsi" w:hAnsiTheme="minorHAnsi" w:cs="Arial"/>
          <w:sz w:val="24"/>
          <w:szCs w:val="24"/>
          <w:lang w:eastAsia="en-GB"/>
        </w:rPr>
        <w:t>trustees</w:t>
      </w:r>
      <w:r w:rsidRPr="00976555">
        <w:rPr>
          <w:rFonts w:asciiTheme="minorHAnsi" w:hAnsiTheme="minorHAnsi" w:cs="Arial"/>
          <w:sz w:val="24"/>
          <w:szCs w:val="24"/>
          <w:lang w:eastAsia="en-GB"/>
        </w:rPr>
        <w:t xml:space="preserve"> expect </w:t>
      </w:r>
      <w:r>
        <w:rPr>
          <w:rFonts w:asciiTheme="minorHAnsi" w:hAnsiTheme="minorHAnsi" w:cs="Arial"/>
          <w:sz w:val="24"/>
          <w:szCs w:val="24"/>
          <w:lang w:eastAsia="en-GB"/>
        </w:rPr>
        <w:t xml:space="preserve">to smoothly reduce </w:t>
      </w:r>
      <w:r w:rsidR="005E3FE3">
        <w:rPr>
          <w:rFonts w:asciiTheme="minorHAnsi" w:hAnsiTheme="minorHAnsi" w:cs="Arial"/>
          <w:sz w:val="24"/>
          <w:szCs w:val="24"/>
          <w:lang w:eastAsia="en-GB"/>
        </w:rPr>
        <w:t xml:space="preserve">the investment </w:t>
      </w:r>
      <w:r>
        <w:rPr>
          <w:rFonts w:asciiTheme="minorHAnsi" w:hAnsiTheme="minorHAnsi" w:cs="Arial"/>
          <w:sz w:val="24"/>
          <w:szCs w:val="24"/>
          <w:lang w:eastAsia="en-GB"/>
        </w:rPr>
        <w:t>risk</w:t>
      </w:r>
      <w:r w:rsidR="005E3FE3">
        <w:rPr>
          <w:rFonts w:asciiTheme="minorHAnsi" w:hAnsiTheme="minorHAnsi" w:cs="Arial"/>
          <w:sz w:val="24"/>
          <w:szCs w:val="24"/>
          <w:lang w:eastAsia="en-GB"/>
        </w:rPr>
        <w:t xml:space="preserve"> of the</w:t>
      </w:r>
      <w:r>
        <w:rPr>
          <w:rFonts w:asciiTheme="minorHAnsi" w:hAnsiTheme="minorHAnsi" w:cs="Arial"/>
          <w:sz w:val="24"/>
          <w:szCs w:val="24"/>
          <w:lang w:eastAsia="en-GB"/>
        </w:rPr>
        <w:t xml:space="preserve"> portfolio</w:t>
      </w:r>
      <w:r w:rsidR="00B03C75">
        <w:rPr>
          <w:rFonts w:asciiTheme="minorHAnsi" w:hAnsiTheme="minorHAnsi" w:cs="Arial"/>
          <w:sz w:val="24"/>
          <w:szCs w:val="24"/>
          <w:lang w:eastAsia="en-GB"/>
        </w:rPr>
        <w:t xml:space="preserve">. </w:t>
      </w:r>
    </w:p>
    <w:p w14:paraId="6C4AD3B4" w14:textId="1A719FB3" w:rsidR="001602C0" w:rsidRDefault="001602C0" w:rsidP="00B03C75">
      <w:pPr>
        <w:spacing w:after="180" w:line="240" w:lineRule="auto"/>
        <w:rPr>
          <w:rFonts w:asciiTheme="minorHAnsi" w:hAnsiTheme="minorHAnsi" w:cs="Arial"/>
          <w:sz w:val="24"/>
          <w:szCs w:val="24"/>
          <w:lang w:eastAsia="en-GB"/>
        </w:rPr>
      </w:pPr>
      <w:r w:rsidRPr="00CF6626">
        <w:rPr>
          <w:rFonts w:asciiTheme="minorHAnsi" w:hAnsiTheme="minorHAnsi" w:cs="Arial"/>
          <w:sz w:val="24"/>
          <w:szCs w:val="24"/>
          <w:lang w:eastAsia="en-GB"/>
        </w:rPr>
        <w:t>The current benchmark against which performance between 201</w:t>
      </w:r>
      <w:r>
        <w:rPr>
          <w:rFonts w:asciiTheme="minorHAnsi" w:hAnsiTheme="minorHAnsi" w:cs="Arial"/>
          <w:sz w:val="24"/>
          <w:szCs w:val="24"/>
          <w:lang w:eastAsia="en-GB"/>
        </w:rPr>
        <w:t>7</w:t>
      </w:r>
      <w:r w:rsidRPr="00CF6626">
        <w:rPr>
          <w:rFonts w:asciiTheme="minorHAnsi" w:hAnsiTheme="minorHAnsi" w:cs="Arial"/>
          <w:sz w:val="24"/>
          <w:szCs w:val="24"/>
          <w:lang w:eastAsia="en-GB"/>
        </w:rPr>
        <w:t xml:space="preserve"> and 2022 will be measured is represented by a portfolio comprising</w:t>
      </w:r>
      <w:r>
        <w:rPr>
          <w:rFonts w:asciiTheme="minorHAnsi" w:hAnsiTheme="minorHAnsi" w:cs="Arial"/>
          <w:sz w:val="24"/>
          <w:szCs w:val="24"/>
          <w:lang w:eastAsia="en-GB"/>
        </w:rPr>
        <w:t xml:space="preserve"> of </w:t>
      </w:r>
      <w:r w:rsidRPr="002434AF">
        <w:rPr>
          <w:rFonts w:asciiTheme="minorHAnsi" w:hAnsiTheme="minorHAnsi" w:cs="Arial"/>
          <w:sz w:val="24"/>
          <w:szCs w:val="24"/>
          <w:lang w:eastAsia="en-GB"/>
        </w:rPr>
        <w:t>75 % global equities and 25% bonds.</w:t>
      </w:r>
    </w:p>
    <w:p w14:paraId="0DA89775" w14:textId="0364072F" w:rsidR="001602C0" w:rsidRPr="009F42F3" w:rsidRDefault="001602C0" w:rsidP="001602C0">
      <w:pPr>
        <w:spacing w:after="120"/>
        <w:rPr>
          <w:rFonts w:asciiTheme="minorHAnsi" w:hAnsiTheme="minorHAnsi" w:cs="Arial"/>
          <w:b/>
          <w:color w:val="0000FF"/>
          <w:sz w:val="24"/>
          <w:szCs w:val="24"/>
        </w:rPr>
      </w:pPr>
      <w:r w:rsidRPr="00995E43">
        <w:rPr>
          <w:rFonts w:asciiTheme="minorHAnsi" w:hAnsiTheme="minorHAnsi" w:cs="Arial"/>
          <w:b/>
          <w:color w:val="442359"/>
          <w:sz w:val="24"/>
          <w:szCs w:val="24"/>
        </w:rPr>
        <w:t>Investment Strategy and Performance</w:t>
      </w:r>
      <w:r>
        <w:rPr>
          <w:rFonts w:asciiTheme="minorHAnsi" w:hAnsiTheme="minorHAnsi" w:cs="Arial"/>
          <w:color w:val="442359"/>
          <w:sz w:val="24"/>
          <w:szCs w:val="24"/>
        </w:rPr>
        <w:t xml:space="preserve"> </w:t>
      </w:r>
    </w:p>
    <w:p w14:paraId="17C708BF" w14:textId="77777777" w:rsidR="001602C0" w:rsidRDefault="001602C0" w:rsidP="001602C0">
      <w:pPr>
        <w:spacing w:after="180" w:line="240" w:lineRule="auto"/>
        <w:jc w:val="both"/>
        <w:rPr>
          <w:rFonts w:asciiTheme="minorHAnsi" w:hAnsiTheme="minorHAnsi" w:cs="Arial"/>
          <w:sz w:val="24"/>
          <w:szCs w:val="24"/>
        </w:rPr>
      </w:pPr>
      <w:r w:rsidRPr="00976555">
        <w:rPr>
          <w:rFonts w:asciiTheme="minorHAnsi" w:hAnsiTheme="minorHAnsi" w:cs="Arial"/>
          <w:sz w:val="24"/>
          <w:szCs w:val="24"/>
        </w:rPr>
        <w:t>The investment strategy is currently implemented through a combination of investment</w:t>
      </w:r>
      <w:r>
        <w:rPr>
          <w:rFonts w:asciiTheme="minorHAnsi" w:hAnsiTheme="minorHAnsi" w:cs="Arial"/>
          <w:sz w:val="24"/>
          <w:szCs w:val="24"/>
        </w:rPr>
        <w:t>s</w:t>
      </w:r>
      <w:r w:rsidRPr="00976555">
        <w:rPr>
          <w:rFonts w:asciiTheme="minorHAnsi" w:hAnsiTheme="minorHAnsi" w:cs="Arial"/>
          <w:sz w:val="24"/>
          <w:szCs w:val="24"/>
        </w:rPr>
        <w:t xml:space="preserve"> as set out in the table below, together with the ranges within which the policy is managed.</w:t>
      </w:r>
    </w:p>
    <w:tbl>
      <w:tblPr>
        <w:tblpPr w:leftFromText="180" w:rightFromText="180" w:vertAnchor="text" w:horzAnchor="margin" w:tblpY="77"/>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261"/>
        <w:gridCol w:w="1701"/>
        <w:gridCol w:w="1541"/>
      </w:tblGrid>
      <w:tr w:rsidR="001602C0" w:rsidRPr="00976555" w14:paraId="3340E727" w14:textId="77777777" w:rsidTr="00A87B91">
        <w:trPr>
          <w:cantSplit/>
          <w:trHeight w:val="987"/>
        </w:trPr>
        <w:tc>
          <w:tcPr>
            <w:tcW w:w="2263" w:type="dxa"/>
            <w:tcMar>
              <w:top w:w="0" w:type="dxa"/>
              <w:left w:w="0" w:type="dxa"/>
              <w:bottom w:w="0" w:type="dxa"/>
              <w:right w:w="0" w:type="dxa"/>
            </w:tcMar>
            <w:vAlign w:val="center"/>
          </w:tcPr>
          <w:p w14:paraId="49A7456D" w14:textId="77777777" w:rsidR="001602C0" w:rsidRPr="00AA5D08" w:rsidRDefault="001602C0" w:rsidP="00BC5EE4">
            <w:pPr>
              <w:jc w:val="center"/>
              <w:rPr>
                <w:rFonts w:asciiTheme="minorHAnsi" w:hAnsiTheme="minorHAnsi" w:cs="Arial"/>
                <w:b/>
                <w:color w:val="442359"/>
                <w:sz w:val="24"/>
                <w:szCs w:val="24"/>
              </w:rPr>
            </w:pPr>
            <w:r w:rsidRPr="00AA5D08">
              <w:rPr>
                <w:rFonts w:asciiTheme="minorHAnsi" w:hAnsiTheme="minorHAnsi" w:cs="Arial"/>
                <w:b/>
                <w:color w:val="442359"/>
                <w:sz w:val="24"/>
                <w:szCs w:val="24"/>
              </w:rPr>
              <w:t>Portfolio</w:t>
            </w:r>
          </w:p>
        </w:tc>
        <w:tc>
          <w:tcPr>
            <w:tcW w:w="3261" w:type="dxa"/>
            <w:tcMar>
              <w:top w:w="0" w:type="dxa"/>
              <w:left w:w="0" w:type="dxa"/>
              <w:bottom w:w="0" w:type="dxa"/>
              <w:right w:w="0" w:type="dxa"/>
            </w:tcMar>
            <w:vAlign w:val="center"/>
          </w:tcPr>
          <w:p w14:paraId="311F4FB9" w14:textId="77777777" w:rsidR="001602C0" w:rsidRPr="00AA5D08" w:rsidRDefault="001602C0" w:rsidP="00BC5EE4">
            <w:pPr>
              <w:jc w:val="center"/>
              <w:rPr>
                <w:rFonts w:asciiTheme="minorHAnsi" w:hAnsiTheme="minorHAnsi" w:cs="Arial"/>
                <w:b/>
                <w:color w:val="442359"/>
                <w:sz w:val="24"/>
                <w:szCs w:val="24"/>
              </w:rPr>
            </w:pPr>
            <w:r w:rsidRPr="00AA5D08">
              <w:rPr>
                <w:rFonts w:asciiTheme="minorHAnsi" w:hAnsiTheme="minorHAnsi" w:cs="Arial"/>
                <w:b/>
                <w:color w:val="442359"/>
                <w:sz w:val="24"/>
                <w:szCs w:val="24"/>
              </w:rPr>
              <w:t>Manager</w:t>
            </w:r>
          </w:p>
        </w:tc>
        <w:tc>
          <w:tcPr>
            <w:tcW w:w="1701" w:type="dxa"/>
            <w:tcMar>
              <w:top w:w="0" w:type="dxa"/>
              <w:left w:w="0" w:type="dxa"/>
              <w:bottom w:w="0" w:type="dxa"/>
              <w:right w:w="0" w:type="dxa"/>
            </w:tcMar>
            <w:vAlign w:val="center"/>
          </w:tcPr>
          <w:p w14:paraId="19423FFB" w14:textId="77777777" w:rsidR="001602C0" w:rsidRPr="00AA5D08" w:rsidRDefault="001602C0" w:rsidP="00BC5EE4">
            <w:pPr>
              <w:jc w:val="center"/>
              <w:rPr>
                <w:rFonts w:asciiTheme="minorHAnsi" w:hAnsiTheme="minorHAnsi" w:cs="Arial"/>
                <w:b/>
                <w:color w:val="442359"/>
                <w:sz w:val="24"/>
                <w:szCs w:val="24"/>
              </w:rPr>
            </w:pPr>
            <w:r w:rsidRPr="00AA5D08">
              <w:rPr>
                <w:rFonts w:asciiTheme="minorHAnsi" w:hAnsiTheme="minorHAnsi" w:cs="Arial"/>
                <w:b/>
                <w:color w:val="442359"/>
                <w:sz w:val="24"/>
                <w:szCs w:val="24"/>
              </w:rPr>
              <w:t>Central Allocation</w:t>
            </w:r>
            <w:r w:rsidRPr="00AA5D08">
              <w:rPr>
                <w:rFonts w:asciiTheme="minorHAnsi" w:hAnsiTheme="minorHAnsi" w:cs="Arial"/>
                <w:b/>
                <w:color w:val="442359"/>
                <w:sz w:val="24"/>
                <w:szCs w:val="24"/>
              </w:rPr>
              <w:br/>
              <w:t>(% of Assets)</w:t>
            </w:r>
          </w:p>
        </w:tc>
        <w:tc>
          <w:tcPr>
            <w:tcW w:w="1541" w:type="dxa"/>
            <w:tcMar>
              <w:top w:w="0" w:type="dxa"/>
              <w:left w:w="0" w:type="dxa"/>
              <w:bottom w:w="0" w:type="dxa"/>
              <w:right w:w="0" w:type="dxa"/>
            </w:tcMar>
            <w:vAlign w:val="center"/>
          </w:tcPr>
          <w:p w14:paraId="1D9D3682" w14:textId="77777777" w:rsidR="001602C0" w:rsidRPr="00AA5D08" w:rsidRDefault="001602C0" w:rsidP="00BC5EE4">
            <w:pPr>
              <w:jc w:val="center"/>
              <w:rPr>
                <w:rFonts w:asciiTheme="minorHAnsi" w:hAnsiTheme="minorHAnsi" w:cs="Arial"/>
                <w:b/>
                <w:color w:val="442359"/>
                <w:sz w:val="24"/>
                <w:szCs w:val="24"/>
              </w:rPr>
            </w:pPr>
            <w:r w:rsidRPr="00AA5D08">
              <w:rPr>
                <w:rFonts w:asciiTheme="minorHAnsi" w:hAnsiTheme="minorHAnsi" w:cs="Arial"/>
                <w:b/>
                <w:color w:val="442359"/>
                <w:sz w:val="24"/>
                <w:szCs w:val="24"/>
              </w:rPr>
              <w:t>Target Ranges</w:t>
            </w:r>
            <w:r w:rsidRPr="00AA5D08">
              <w:rPr>
                <w:rFonts w:asciiTheme="minorHAnsi" w:hAnsiTheme="minorHAnsi" w:cs="Arial"/>
                <w:b/>
                <w:color w:val="442359"/>
                <w:sz w:val="24"/>
                <w:szCs w:val="24"/>
              </w:rPr>
              <w:br/>
              <w:t>(% of Assets)</w:t>
            </w:r>
          </w:p>
        </w:tc>
      </w:tr>
      <w:tr w:rsidR="001602C0" w:rsidRPr="00976555" w14:paraId="1207E99F" w14:textId="77777777" w:rsidTr="00A87B91">
        <w:trPr>
          <w:cantSplit/>
          <w:trHeight w:val="310"/>
        </w:trPr>
        <w:tc>
          <w:tcPr>
            <w:tcW w:w="2263" w:type="dxa"/>
            <w:shd w:val="clear" w:color="auto" w:fill="auto"/>
            <w:tcMar>
              <w:top w:w="0" w:type="dxa"/>
              <w:left w:w="0" w:type="dxa"/>
              <w:bottom w:w="0" w:type="dxa"/>
              <w:right w:w="0" w:type="dxa"/>
            </w:tcMar>
          </w:tcPr>
          <w:p w14:paraId="5BF09969" w14:textId="77777777" w:rsidR="001602C0" w:rsidRPr="00921BAE" w:rsidRDefault="001602C0" w:rsidP="00BC5EE4">
            <w:pPr>
              <w:pStyle w:val="tablefigure0"/>
              <w:spacing w:before="0" w:beforeAutospacing="0"/>
              <w:rPr>
                <w:rFonts w:asciiTheme="minorHAnsi" w:hAnsiTheme="minorHAnsi" w:cs="Arial"/>
              </w:rPr>
            </w:pPr>
            <w:r w:rsidRPr="00921BAE">
              <w:rPr>
                <w:rFonts w:asciiTheme="minorHAnsi" w:hAnsiTheme="minorHAnsi" w:cs="Arial"/>
              </w:rPr>
              <w:t xml:space="preserve">Active Global Equities </w:t>
            </w:r>
          </w:p>
        </w:tc>
        <w:tc>
          <w:tcPr>
            <w:tcW w:w="3261" w:type="dxa"/>
            <w:shd w:val="clear" w:color="auto" w:fill="auto"/>
            <w:tcMar>
              <w:top w:w="0" w:type="dxa"/>
              <w:left w:w="0" w:type="dxa"/>
              <w:bottom w:w="0" w:type="dxa"/>
              <w:right w:w="0" w:type="dxa"/>
            </w:tcMar>
          </w:tcPr>
          <w:p w14:paraId="383A2D9B" w14:textId="77777777" w:rsidR="001602C0" w:rsidRPr="00921BAE" w:rsidRDefault="001602C0" w:rsidP="00997759">
            <w:pPr>
              <w:pStyle w:val="tablefigure0"/>
              <w:spacing w:before="0" w:beforeAutospacing="0" w:after="120" w:afterAutospacing="0"/>
              <w:rPr>
                <w:rFonts w:asciiTheme="minorHAnsi" w:hAnsiTheme="minorHAnsi" w:cs="Arial"/>
              </w:rPr>
            </w:pPr>
            <w:r w:rsidRPr="00921BAE">
              <w:rPr>
                <w:rFonts w:asciiTheme="minorHAnsi" w:hAnsiTheme="minorHAnsi" w:cs="Arial"/>
              </w:rPr>
              <w:t>Schroders</w:t>
            </w:r>
          </w:p>
        </w:tc>
        <w:tc>
          <w:tcPr>
            <w:tcW w:w="1701" w:type="dxa"/>
            <w:shd w:val="clear" w:color="auto" w:fill="auto"/>
            <w:tcMar>
              <w:top w:w="0" w:type="dxa"/>
              <w:left w:w="0" w:type="dxa"/>
              <w:bottom w:w="0" w:type="dxa"/>
              <w:right w:w="0" w:type="dxa"/>
            </w:tcMar>
          </w:tcPr>
          <w:p w14:paraId="2AF472B2"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4</w:t>
            </w:r>
            <w:r>
              <w:rPr>
                <w:rFonts w:asciiTheme="minorHAnsi" w:hAnsiTheme="minorHAnsi" w:cs="Arial"/>
              </w:rPr>
              <w:t>4</w:t>
            </w:r>
          </w:p>
        </w:tc>
        <w:tc>
          <w:tcPr>
            <w:tcW w:w="1541" w:type="dxa"/>
            <w:shd w:val="clear" w:color="auto" w:fill="auto"/>
            <w:tcMar>
              <w:top w:w="0" w:type="dxa"/>
              <w:left w:w="0" w:type="dxa"/>
              <w:bottom w:w="0" w:type="dxa"/>
              <w:right w:w="0" w:type="dxa"/>
            </w:tcMar>
          </w:tcPr>
          <w:p w14:paraId="7EE0D2E7"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25-50</w:t>
            </w:r>
          </w:p>
        </w:tc>
      </w:tr>
      <w:tr w:rsidR="001602C0" w:rsidRPr="00976555" w14:paraId="2FD4AF34" w14:textId="77777777" w:rsidTr="00A87B91">
        <w:trPr>
          <w:cantSplit/>
          <w:trHeight w:val="310"/>
        </w:trPr>
        <w:tc>
          <w:tcPr>
            <w:tcW w:w="2263" w:type="dxa"/>
            <w:shd w:val="clear" w:color="auto" w:fill="auto"/>
            <w:tcMar>
              <w:top w:w="0" w:type="dxa"/>
              <w:left w:w="0" w:type="dxa"/>
              <w:bottom w:w="0" w:type="dxa"/>
              <w:right w:w="0" w:type="dxa"/>
            </w:tcMar>
          </w:tcPr>
          <w:p w14:paraId="549A3C6C" w14:textId="77777777" w:rsidR="001602C0" w:rsidRPr="00921BAE" w:rsidRDefault="001602C0" w:rsidP="00BC5EE4">
            <w:pPr>
              <w:pStyle w:val="tablefigure0"/>
              <w:spacing w:before="0" w:beforeAutospacing="0"/>
              <w:rPr>
                <w:rFonts w:asciiTheme="minorHAnsi" w:hAnsiTheme="minorHAnsi" w:cs="Arial"/>
              </w:rPr>
            </w:pPr>
            <w:r w:rsidRPr="00921BAE">
              <w:rPr>
                <w:rFonts w:asciiTheme="minorHAnsi" w:hAnsiTheme="minorHAnsi" w:cs="Arial"/>
              </w:rPr>
              <w:t>Passive Global Equities</w:t>
            </w:r>
          </w:p>
        </w:tc>
        <w:tc>
          <w:tcPr>
            <w:tcW w:w="3261" w:type="dxa"/>
            <w:shd w:val="clear" w:color="auto" w:fill="auto"/>
            <w:tcMar>
              <w:top w:w="0" w:type="dxa"/>
              <w:left w:w="0" w:type="dxa"/>
              <w:bottom w:w="0" w:type="dxa"/>
              <w:right w:w="0" w:type="dxa"/>
            </w:tcMar>
          </w:tcPr>
          <w:p w14:paraId="3C0CD5E6" w14:textId="77777777" w:rsidR="001602C0" w:rsidRPr="00921BAE" w:rsidRDefault="001602C0" w:rsidP="00997759">
            <w:pPr>
              <w:pStyle w:val="tablefigure0"/>
              <w:spacing w:before="0" w:beforeAutospacing="0" w:after="120" w:afterAutospacing="0"/>
              <w:rPr>
                <w:rFonts w:asciiTheme="minorHAnsi" w:hAnsiTheme="minorHAnsi" w:cs="Arial"/>
              </w:rPr>
            </w:pPr>
            <w:r w:rsidRPr="00921BAE">
              <w:rPr>
                <w:rFonts w:asciiTheme="minorHAnsi" w:hAnsiTheme="minorHAnsi" w:cs="Arial"/>
              </w:rPr>
              <w:t>Black</w:t>
            </w:r>
            <w:r>
              <w:rPr>
                <w:rFonts w:asciiTheme="minorHAnsi" w:hAnsiTheme="minorHAnsi" w:cs="Arial"/>
              </w:rPr>
              <w:t>R</w:t>
            </w:r>
            <w:r w:rsidRPr="00921BAE">
              <w:rPr>
                <w:rFonts w:asciiTheme="minorHAnsi" w:hAnsiTheme="minorHAnsi" w:cs="Arial"/>
              </w:rPr>
              <w:t>ock</w:t>
            </w:r>
          </w:p>
        </w:tc>
        <w:tc>
          <w:tcPr>
            <w:tcW w:w="1701" w:type="dxa"/>
            <w:shd w:val="clear" w:color="auto" w:fill="auto"/>
            <w:tcMar>
              <w:top w:w="0" w:type="dxa"/>
              <w:left w:w="0" w:type="dxa"/>
              <w:bottom w:w="0" w:type="dxa"/>
              <w:right w:w="0" w:type="dxa"/>
            </w:tcMar>
          </w:tcPr>
          <w:p w14:paraId="5376AA27"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Pr>
                <w:rFonts w:asciiTheme="minorHAnsi" w:hAnsiTheme="minorHAnsi" w:cs="Arial"/>
              </w:rPr>
              <w:t>36</w:t>
            </w:r>
          </w:p>
        </w:tc>
        <w:tc>
          <w:tcPr>
            <w:tcW w:w="1541" w:type="dxa"/>
            <w:shd w:val="clear" w:color="auto" w:fill="auto"/>
            <w:tcMar>
              <w:top w:w="0" w:type="dxa"/>
              <w:left w:w="0" w:type="dxa"/>
              <w:bottom w:w="0" w:type="dxa"/>
              <w:right w:w="0" w:type="dxa"/>
            </w:tcMar>
          </w:tcPr>
          <w:p w14:paraId="0A6A6C98"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25-50</w:t>
            </w:r>
          </w:p>
        </w:tc>
      </w:tr>
      <w:tr w:rsidR="001602C0" w:rsidRPr="00976555" w14:paraId="727DAD26" w14:textId="77777777" w:rsidTr="00A87B91">
        <w:trPr>
          <w:cantSplit/>
          <w:trHeight w:val="310"/>
        </w:trPr>
        <w:tc>
          <w:tcPr>
            <w:tcW w:w="2263" w:type="dxa"/>
            <w:shd w:val="clear" w:color="auto" w:fill="auto"/>
            <w:tcMar>
              <w:top w:w="0" w:type="dxa"/>
              <w:left w:w="0" w:type="dxa"/>
              <w:bottom w:w="0" w:type="dxa"/>
              <w:right w:w="0" w:type="dxa"/>
            </w:tcMar>
          </w:tcPr>
          <w:p w14:paraId="0D522946" w14:textId="77777777" w:rsidR="001602C0" w:rsidRPr="00921BAE" w:rsidRDefault="001602C0" w:rsidP="00BC5EE4">
            <w:pPr>
              <w:pStyle w:val="tablefigure0"/>
              <w:spacing w:before="0" w:beforeAutospacing="0"/>
              <w:rPr>
                <w:rFonts w:asciiTheme="minorHAnsi" w:hAnsiTheme="minorHAnsi" w:cs="Arial"/>
              </w:rPr>
            </w:pPr>
            <w:r w:rsidRPr="00921BAE">
              <w:rPr>
                <w:rFonts w:asciiTheme="minorHAnsi" w:hAnsiTheme="minorHAnsi" w:cs="Arial"/>
              </w:rPr>
              <w:t>Fixed Income Bonds</w:t>
            </w:r>
          </w:p>
        </w:tc>
        <w:tc>
          <w:tcPr>
            <w:tcW w:w="3261" w:type="dxa"/>
            <w:shd w:val="clear" w:color="auto" w:fill="auto"/>
            <w:tcMar>
              <w:top w:w="0" w:type="dxa"/>
              <w:left w:w="0" w:type="dxa"/>
              <w:bottom w:w="0" w:type="dxa"/>
              <w:right w:w="0" w:type="dxa"/>
            </w:tcMar>
          </w:tcPr>
          <w:p w14:paraId="24060B91" w14:textId="77777777" w:rsidR="001602C0" w:rsidRPr="00921BAE" w:rsidRDefault="001602C0" w:rsidP="00997759">
            <w:pPr>
              <w:pStyle w:val="tablefigure0"/>
              <w:spacing w:before="0" w:beforeAutospacing="0" w:after="120" w:afterAutospacing="0"/>
              <w:rPr>
                <w:rFonts w:asciiTheme="minorHAnsi" w:hAnsiTheme="minorHAnsi" w:cs="Arial"/>
              </w:rPr>
            </w:pPr>
            <w:r w:rsidRPr="00921BAE">
              <w:rPr>
                <w:rFonts w:asciiTheme="minorHAnsi" w:hAnsiTheme="minorHAnsi" w:cs="Arial"/>
              </w:rPr>
              <w:t>Black</w:t>
            </w:r>
            <w:r>
              <w:rPr>
                <w:rFonts w:asciiTheme="minorHAnsi" w:hAnsiTheme="minorHAnsi" w:cs="Arial"/>
              </w:rPr>
              <w:t>R</w:t>
            </w:r>
            <w:r w:rsidRPr="00921BAE">
              <w:rPr>
                <w:rFonts w:asciiTheme="minorHAnsi" w:hAnsiTheme="minorHAnsi" w:cs="Arial"/>
              </w:rPr>
              <w:t>ock</w:t>
            </w:r>
          </w:p>
        </w:tc>
        <w:tc>
          <w:tcPr>
            <w:tcW w:w="1701" w:type="dxa"/>
            <w:shd w:val="clear" w:color="auto" w:fill="auto"/>
            <w:tcMar>
              <w:top w:w="0" w:type="dxa"/>
              <w:left w:w="0" w:type="dxa"/>
              <w:bottom w:w="0" w:type="dxa"/>
              <w:right w:w="0" w:type="dxa"/>
            </w:tcMar>
          </w:tcPr>
          <w:p w14:paraId="16F688CE"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Pr>
                <w:rFonts w:asciiTheme="minorHAnsi" w:hAnsiTheme="minorHAnsi" w:cs="Arial"/>
              </w:rPr>
              <w:t>9</w:t>
            </w:r>
          </w:p>
        </w:tc>
        <w:tc>
          <w:tcPr>
            <w:tcW w:w="1541" w:type="dxa"/>
            <w:shd w:val="clear" w:color="auto" w:fill="auto"/>
            <w:tcMar>
              <w:top w:w="0" w:type="dxa"/>
              <w:left w:w="0" w:type="dxa"/>
              <w:bottom w:w="0" w:type="dxa"/>
              <w:right w:w="0" w:type="dxa"/>
            </w:tcMar>
          </w:tcPr>
          <w:p w14:paraId="0AEAF31F"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5-25</w:t>
            </w:r>
          </w:p>
        </w:tc>
      </w:tr>
      <w:tr w:rsidR="001602C0" w:rsidRPr="00976555" w14:paraId="4F3ABB6F" w14:textId="77777777" w:rsidTr="00A87B91">
        <w:trPr>
          <w:cantSplit/>
          <w:trHeight w:val="310"/>
        </w:trPr>
        <w:tc>
          <w:tcPr>
            <w:tcW w:w="2263" w:type="dxa"/>
            <w:shd w:val="clear" w:color="auto" w:fill="auto"/>
            <w:tcMar>
              <w:top w:w="0" w:type="dxa"/>
              <w:left w:w="0" w:type="dxa"/>
              <w:bottom w:w="0" w:type="dxa"/>
              <w:right w:w="0" w:type="dxa"/>
            </w:tcMar>
          </w:tcPr>
          <w:p w14:paraId="5A68702E" w14:textId="77777777" w:rsidR="001602C0" w:rsidRPr="00921BAE" w:rsidRDefault="001602C0" w:rsidP="00BC5EE4">
            <w:pPr>
              <w:pStyle w:val="tablefigure0"/>
              <w:spacing w:before="0" w:beforeAutospacing="0"/>
              <w:rPr>
                <w:rFonts w:asciiTheme="minorHAnsi" w:hAnsiTheme="minorHAnsi" w:cs="Arial"/>
              </w:rPr>
            </w:pPr>
            <w:r w:rsidRPr="00921BAE">
              <w:rPr>
                <w:rFonts w:asciiTheme="minorHAnsi" w:hAnsiTheme="minorHAnsi" w:cs="Arial"/>
              </w:rPr>
              <w:t>Fixed Income Bonds</w:t>
            </w:r>
          </w:p>
        </w:tc>
        <w:tc>
          <w:tcPr>
            <w:tcW w:w="3261" w:type="dxa"/>
            <w:shd w:val="clear" w:color="auto" w:fill="auto"/>
            <w:tcMar>
              <w:top w:w="0" w:type="dxa"/>
              <w:left w:w="0" w:type="dxa"/>
              <w:bottom w:w="0" w:type="dxa"/>
              <w:right w:w="0" w:type="dxa"/>
            </w:tcMar>
          </w:tcPr>
          <w:p w14:paraId="73A48BC5" w14:textId="4F059C6D" w:rsidR="001602C0" w:rsidRPr="00921BAE" w:rsidRDefault="001602C0" w:rsidP="00997759">
            <w:pPr>
              <w:pStyle w:val="tablefigure0"/>
              <w:spacing w:before="0" w:beforeAutospacing="0" w:after="120" w:afterAutospacing="0"/>
              <w:rPr>
                <w:rFonts w:asciiTheme="minorHAnsi" w:hAnsiTheme="minorHAnsi" w:cs="Arial"/>
              </w:rPr>
            </w:pPr>
            <w:proofErr w:type="spellStart"/>
            <w:r w:rsidRPr="00921BAE">
              <w:rPr>
                <w:rFonts w:asciiTheme="minorHAnsi" w:hAnsiTheme="minorHAnsi" w:cs="Arial"/>
              </w:rPr>
              <w:t>TwentyFour</w:t>
            </w:r>
            <w:proofErr w:type="spellEnd"/>
            <w:r w:rsidRPr="00921BAE">
              <w:rPr>
                <w:rFonts w:asciiTheme="minorHAnsi" w:hAnsiTheme="minorHAnsi" w:cs="Arial"/>
              </w:rPr>
              <w:t xml:space="preserve"> Asset </w:t>
            </w:r>
            <w:r w:rsidR="00A87B91">
              <w:rPr>
                <w:rFonts w:asciiTheme="minorHAnsi" w:hAnsiTheme="minorHAnsi" w:cs="Arial"/>
              </w:rPr>
              <w:t>M</w:t>
            </w:r>
            <w:r w:rsidRPr="00921BAE">
              <w:rPr>
                <w:rFonts w:asciiTheme="minorHAnsi" w:hAnsiTheme="minorHAnsi" w:cs="Arial"/>
              </w:rPr>
              <w:t>anagement</w:t>
            </w:r>
          </w:p>
        </w:tc>
        <w:tc>
          <w:tcPr>
            <w:tcW w:w="1701" w:type="dxa"/>
            <w:shd w:val="clear" w:color="auto" w:fill="auto"/>
            <w:tcMar>
              <w:top w:w="0" w:type="dxa"/>
              <w:left w:w="0" w:type="dxa"/>
              <w:bottom w:w="0" w:type="dxa"/>
              <w:right w:w="0" w:type="dxa"/>
            </w:tcMar>
          </w:tcPr>
          <w:p w14:paraId="0A92F676"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Pr>
                <w:rFonts w:asciiTheme="minorHAnsi" w:hAnsiTheme="minorHAnsi" w:cs="Arial"/>
              </w:rPr>
              <w:t>9</w:t>
            </w:r>
          </w:p>
        </w:tc>
        <w:tc>
          <w:tcPr>
            <w:tcW w:w="1541" w:type="dxa"/>
            <w:shd w:val="clear" w:color="auto" w:fill="auto"/>
            <w:tcMar>
              <w:top w:w="0" w:type="dxa"/>
              <w:left w:w="0" w:type="dxa"/>
              <w:bottom w:w="0" w:type="dxa"/>
              <w:right w:w="0" w:type="dxa"/>
            </w:tcMar>
          </w:tcPr>
          <w:p w14:paraId="4305C3F1"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5-25</w:t>
            </w:r>
          </w:p>
        </w:tc>
      </w:tr>
      <w:tr w:rsidR="001602C0" w:rsidRPr="00976555" w14:paraId="05465842" w14:textId="77777777" w:rsidTr="00A87B91">
        <w:trPr>
          <w:cantSplit/>
          <w:trHeight w:val="310"/>
        </w:trPr>
        <w:tc>
          <w:tcPr>
            <w:tcW w:w="2263" w:type="dxa"/>
            <w:shd w:val="clear" w:color="auto" w:fill="auto"/>
            <w:tcMar>
              <w:top w:w="0" w:type="dxa"/>
              <w:left w:w="0" w:type="dxa"/>
              <w:bottom w:w="0" w:type="dxa"/>
              <w:right w:w="0" w:type="dxa"/>
            </w:tcMar>
          </w:tcPr>
          <w:p w14:paraId="1B3564B9" w14:textId="77777777" w:rsidR="001602C0" w:rsidRPr="00921BAE" w:rsidRDefault="001602C0" w:rsidP="00BC5EE4">
            <w:pPr>
              <w:pStyle w:val="tablefigure0"/>
              <w:spacing w:before="0" w:beforeAutospacing="0"/>
              <w:rPr>
                <w:rFonts w:asciiTheme="minorHAnsi" w:hAnsiTheme="minorHAnsi" w:cs="Arial"/>
              </w:rPr>
            </w:pPr>
            <w:r w:rsidRPr="00921BAE">
              <w:rPr>
                <w:rFonts w:asciiTheme="minorHAnsi" w:hAnsiTheme="minorHAnsi" w:cs="Arial"/>
              </w:rPr>
              <w:t>Cash</w:t>
            </w:r>
          </w:p>
        </w:tc>
        <w:tc>
          <w:tcPr>
            <w:tcW w:w="3261" w:type="dxa"/>
            <w:shd w:val="clear" w:color="auto" w:fill="auto"/>
            <w:tcMar>
              <w:top w:w="0" w:type="dxa"/>
              <w:left w:w="0" w:type="dxa"/>
              <w:bottom w:w="0" w:type="dxa"/>
              <w:right w:w="0" w:type="dxa"/>
            </w:tcMar>
          </w:tcPr>
          <w:p w14:paraId="6A65C70D" w14:textId="77777777" w:rsidR="001602C0" w:rsidRPr="00921BAE" w:rsidRDefault="001602C0" w:rsidP="00997759">
            <w:pPr>
              <w:pStyle w:val="tablefigure0"/>
              <w:spacing w:before="0" w:beforeAutospacing="0" w:after="120" w:afterAutospacing="0"/>
              <w:rPr>
                <w:rFonts w:asciiTheme="minorHAnsi" w:hAnsiTheme="minorHAnsi" w:cs="Arial"/>
              </w:rPr>
            </w:pPr>
            <w:r w:rsidRPr="00921BAE">
              <w:rPr>
                <w:rFonts w:asciiTheme="minorHAnsi" w:hAnsiTheme="minorHAnsi" w:cs="Arial"/>
              </w:rPr>
              <w:t>Various</w:t>
            </w:r>
          </w:p>
        </w:tc>
        <w:tc>
          <w:tcPr>
            <w:tcW w:w="1701" w:type="dxa"/>
            <w:shd w:val="clear" w:color="auto" w:fill="auto"/>
            <w:tcMar>
              <w:top w:w="0" w:type="dxa"/>
              <w:left w:w="0" w:type="dxa"/>
              <w:bottom w:w="0" w:type="dxa"/>
              <w:right w:w="0" w:type="dxa"/>
            </w:tcMar>
          </w:tcPr>
          <w:p w14:paraId="5D922040"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Pr>
                <w:rFonts w:asciiTheme="minorHAnsi" w:hAnsiTheme="minorHAnsi" w:cs="Arial"/>
              </w:rPr>
              <w:t>2</w:t>
            </w:r>
          </w:p>
        </w:tc>
        <w:tc>
          <w:tcPr>
            <w:tcW w:w="1541" w:type="dxa"/>
            <w:shd w:val="clear" w:color="auto" w:fill="auto"/>
            <w:tcMar>
              <w:top w:w="0" w:type="dxa"/>
              <w:left w:w="0" w:type="dxa"/>
              <w:bottom w:w="0" w:type="dxa"/>
              <w:right w:w="0" w:type="dxa"/>
            </w:tcMar>
          </w:tcPr>
          <w:p w14:paraId="49EC31FB" w14:textId="77777777" w:rsidR="001602C0" w:rsidRPr="00921BAE" w:rsidRDefault="001602C0" w:rsidP="00997759">
            <w:pPr>
              <w:pStyle w:val="tablefigure0"/>
              <w:spacing w:before="0" w:beforeAutospacing="0" w:after="120" w:afterAutospacing="0"/>
              <w:jc w:val="center"/>
              <w:rPr>
                <w:rFonts w:asciiTheme="minorHAnsi" w:hAnsiTheme="minorHAnsi" w:cs="Arial"/>
              </w:rPr>
            </w:pPr>
            <w:r w:rsidRPr="00921BAE">
              <w:rPr>
                <w:rFonts w:asciiTheme="minorHAnsi" w:hAnsiTheme="minorHAnsi" w:cs="Arial"/>
              </w:rPr>
              <w:t>0-20</w:t>
            </w:r>
          </w:p>
        </w:tc>
      </w:tr>
    </w:tbl>
    <w:p w14:paraId="76B488EE" w14:textId="77777777" w:rsidR="001602C0" w:rsidRDefault="001602C0" w:rsidP="007A68E9">
      <w:pPr>
        <w:spacing w:before="120" w:after="120"/>
        <w:rPr>
          <w:rFonts w:asciiTheme="minorHAnsi" w:hAnsiTheme="minorHAnsi" w:cs="Arial"/>
          <w:sz w:val="24"/>
          <w:szCs w:val="24"/>
        </w:rPr>
      </w:pPr>
      <w:r>
        <w:rPr>
          <w:rFonts w:asciiTheme="minorHAnsi" w:hAnsiTheme="minorHAnsi" w:cs="Arial"/>
          <w:sz w:val="24"/>
          <w:szCs w:val="24"/>
        </w:rPr>
        <w:t>Cash deposits are held with a variety of banks and investment managers.</w:t>
      </w:r>
    </w:p>
    <w:p w14:paraId="06F61211" w14:textId="54C216A9" w:rsidR="001602C0" w:rsidRDefault="00BF5571" w:rsidP="007A68E9">
      <w:pPr>
        <w:spacing w:after="120"/>
        <w:rPr>
          <w:rFonts w:asciiTheme="minorHAnsi" w:hAnsiTheme="minorHAnsi" w:cs="Arial"/>
          <w:sz w:val="24"/>
          <w:szCs w:val="24"/>
        </w:rPr>
      </w:pPr>
      <w:r>
        <w:rPr>
          <w:rFonts w:asciiTheme="minorHAnsi" w:hAnsiTheme="minorHAnsi" w:cs="Arial"/>
          <w:sz w:val="24"/>
          <w:szCs w:val="24"/>
        </w:rPr>
        <w:t>T</w:t>
      </w:r>
      <w:r w:rsidR="001602C0">
        <w:rPr>
          <w:rFonts w:asciiTheme="minorHAnsi" w:hAnsiTheme="minorHAnsi" w:cs="Arial"/>
          <w:sz w:val="24"/>
          <w:szCs w:val="24"/>
        </w:rPr>
        <w:t xml:space="preserve">he total </w:t>
      </w:r>
      <w:r>
        <w:rPr>
          <w:rFonts w:asciiTheme="minorHAnsi" w:hAnsiTheme="minorHAnsi" w:cs="Arial"/>
          <w:sz w:val="24"/>
          <w:szCs w:val="24"/>
        </w:rPr>
        <w:t xml:space="preserve">annual </w:t>
      </w:r>
      <w:r w:rsidR="001602C0">
        <w:rPr>
          <w:rFonts w:asciiTheme="minorHAnsi" w:hAnsiTheme="minorHAnsi" w:cs="Arial"/>
          <w:sz w:val="24"/>
          <w:szCs w:val="24"/>
        </w:rPr>
        <w:t xml:space="preserve">return on the Trust’s investments for the year was </w:t>
      </w:r>
      <w:r w:rsidR="001602C0" w:rsidRPr="00EB72EE">
        <w:rPr>
          <w:rFonts w:asciiTheme="minorHAnsi" w:hAnsiTheme="minorHAnsi" w:cs="Arial"/>
          <w:sz w:val="24"/>
          <w:szCs w:val="24"/>
        </w:rPr>
        <w:t>9.3% (</w:t>
      </w:r>
      <w:r w:rsidR="001602C0">
        <w:rPr>
          <w:rFonts w:asciiTheme="minorHAnsi" w:hAnsiTheme="minorHAnsi" w:cs="Arial"/>
          <w:sz w:val="24"/>
          <w:szCs w:val="24"/>
        </w:rPr>
        <w:t>2017: 12.4%).</w:t>
      </w:r>
    </w:p>
    <w:p w14:paraId="291FD68A" w14:textId="418C54DF" w:rsidR="001602C0" w:rsidRDefault="001602C0" w:rsidP="00C41ED0">
      <w:pPr>
        <w:spacing w:after="240" w:line="259" w:lineRule="auto"/>
        <w:rPr>
          <w:rFonts w:asciiTheme="minorHAnsi" w:hAnsiTheme="minorHAnsi" w:cs="Arial"/>
          <w:sz w:val="24"/>
          <w:szCs w:val="24"/>
        </w:rPr>
      </w:pPr>
      <w:r>
        <w:rPr>
          <w:rFonts w:asciiTheme="minorHAnsi" w:hAnsiTheme="minorHAnsi" w:cs="Arial"/>
          <w:sz w:val="24"/>
          <w:szCs w:val="24"/>
        </w:rPr>
        <w:t xml:space="preserve">Over the last </w:t>
      </w:r>
      <w:r w:rsidR="0085683E">
        <w:rPr>
          <w:rFonts w:asciiTheme="minorHAnsi" w:hAnsiTheme="minorHAnsi" w:cs="Arial"/>
          <w:sz w:val="24"/>
          <w:szCs w:val="24"/>
        </w:rPr>
        <w:t>three</w:t>
      </w:r>
      <w:r>
        <w:rPr>
          <w:rFonts w:asciiTheme="minorHAnsi" w:hAnsiTheme="minorHAnsi" w:cs="Arial"/>
          <w:sz w:val="24"/>
          <w:szCs w:val="24"/>
        </w:rPr>
        <w:t xml:space="preserve"> years the average rate of return has been </w:t>
      </w:r>
      <w:r w:rsidR="00EB72EE" w:rsidRPr="00EB72EE">
        <w:rPr>
          <w:rFonts w:asciiTheme="minorHAnsi" w:hAnsiTheme="minorHAnsi" w:cs="Arial"/>
          <w:sz w:val="24"/>
          <w:szCs w:val="24"/>
        </w:rPr>
        <w:t>1</w:t>
      </w:r>
      <w:r w:rsidR="00CC5D94">
        <w:rPr>
          <w:rFonts w:asciiTheme="minorHAnsi" w:hAnsiTheme="minorHAnsi" w:cs="Arial"/>
          <w:sz w:val="24"/>
          <w:szCs w:val="24"/>
        </w:rPr>
        <w:t>3.4</w:t>
      </w:r>
      <w:r w:rsidRPr="00EB72EE">
        <w:rPr>
          <w:rFonts w:asciiTheme="minorHAnsi" w:hAnsiTheme="minorHAnsi" w:cs="Arial"/>
          <w:sz w:val="24"/>
          <w:szCs w:val="24"/>
        </w:rPr>
        <w:t>% pa,</w:t>
      </w:r>
      <w:r>
        <w:rPr>
          <w:rFonts w:asciiTheme="minorHAnsi" w:hAnsiTheme="minorHAnsi" w:cs="Arial"/>
          <w:sz w:val="24"/>
          <w:szCs w:val="24"/>
        </w:rPr>
        <w:t xml:space="preserve"> which is slightly in excess of the benchmark of </w:t>
      </w:r>
      <w:r w:rsidR="00EB72EE">
        <w:rPr>
          <w:rFonts w:asciiTheme="minorHAnsi" w:hAnsiTheme="minorHAnsi" w:cs="Arial"/>
          <w:sz w:val="24"/>
          <w:szCs w:val="24"/>
        </w:rPr>
        <w:t>12.1</w:t>
      </w:r>
      <w:r>
        <w:rPr>
          <w:rFonts w:asciiTheme="minorHAnsi" w:hAnsiTheme="minorHAnsi" w:cs="Arial"/>
          <w:sz w:val="24"/>
          <w:szCs w:val="24"/>
        </w:rPr>
        <w:t>%</w:t>
      </w:r>
    </w:p>
    <w:p w14:paraId="45764719" w14:textId="77777777" w:rsidR="001602C0" w:rsidRDefault="001602C0" w:rsidP="001602C0">
      <w:pPr>
        <w:spacing w:after="120"/>
        <w:rPr>
          <w:rFonts w:asciiTheme="minorHAnsi" w:hAnsiTheme="minorHAnsi" w:cs="Arial"/>
          <w:b/>
          <w:bCs/>
          <w:color w:val="442359"/>
          <w:spacing w:val="-2"/>
          <w:sz w:val="24"/>
          <w:szCs w:val="24"/>
        </w:rPr>
      </w:pPr>
      <w:r w:rsidRPr="00976555">
        <w:rPr>
          <w:rFonts w:asciiTheme="minorHAnsi" w:hAnsiTheme="minorHAnsi" w:cs="Arial"/>
          <w:sz w:val="24"/>
          <w:szCs w:val="24"/>
        </w:rPr>
        <w:tab/>
      </w:r>
      <w:r w:rsidRPr="00995E43">
        <w:rPr>
          <w:rFonts w:asciiTheme="minorHAnsi" w:hAnsiTheme="minorHAnsi" w:cs="Arial"/>
          <w:b/>
          <w:bCs/>
          <w:color w:val="442359"/>
          <w:spacing w:val="-2"/>
          <w:sz w:val="24"/>
          <w:szCs w:val="24"/>
        </w:rPr>
        <w:t>Significant Investments</w:t>
      </w:r>
    </w:p>
    <w:p w14:paraId="65925130" w14:textId="10A60142" w:rsidR="001602C0" w:rsidRPr="00976555" w:rsidRDefault="001602C0" w:rsidP="00C41ED0">
      <w:pPr>
        <w:spacing w:after="0" w:line="259" w:lineRule="auto"/>
        <w:rPr>
          <w:rFonts w:asciiTheme="minorHAnsi" w:hAnsiTheme="minorHAnsi" w:cs="Arial"/>
          <w:b/>
          <w:bCs/>
          <w:sz w:val="24"/>
          <w:szCs w:val="24"/>
        </w:rPr>
      </w:pPr>
      <w:r w:rsidRPr="00976555">
        <w:rPr>
          <w:rFonts w:asciiTheme="minorHAnsi" w:hAnsiTheme="minorHAnsi" w:cs="Arial"/>
          <w:sz w:val="24"/>
          <w:szCs w:val="24"/>
        </w:rPr>
        <w:t xml:space="preserve">At the </w:t>
      </w:r>
      <w:r>
        <w:rPr>
          <w:rFonts w:asciiTheme="minorHAnsi" w:hAnsiTheme="minorHAnsi" w:cs="Arial"/>
          <w:sz w:val="24"/>
          <w:szCs w:val="24"/>
        </w:rPr>
        <w:t>year</w:t>
      </w:r>
      <w:r w:rsidRPr="00976555">
        <w:rPr>
          <w:rFonts w:asciiTheme="minorHAnsi" w:hAnsiTheme="minorHAnsi" w:cs="Arial"/>
          <w:sz w:val="24"/>
          <w:szCs w:val="24"/>
        </w:rPr>
        <w:t xml:space="preserve"> end</w:t>
      </w:r>
      <w:r w:rsidR="001C2D63">
        <w:rPr>
          <w:rFonts w:asciiTheme="minorHAnsi" w:hAnsiTheme="minorHAnsi" w:cs="Arial"/>
          <w:sz w:val="24"/>
          <w:szCs w:val="24"/>
        </w:rPr>
        <w:t>,</w:t>
      </w:r>
      <w:r w:rsidRPr="00976555">
        <w:rPr>
          <w:rFonts w:asciiTheme="minorHAnsi" w:hAnsiTheme="minorHAnsi" w:cs="Arial"/>
          <w:sz w:val="24"/>
          <w:szCs w:val="24"/>
        </w:rPr>
        <w:t xml:space="preserve"> the following investments represented 5% or more of the total market value of investments:</w:t>
      </w:r>
    </w:p>
    <w:tbl>
      <w:tblPr>
        <w:tblW w:w="8856" w:type="dxa"/>
        <w:tblLayout w:type="fixed"/>
        <w:tblCellMar>
          <w:left w:w="0" w:type="dxa"/>
          <w:right w:w="0" w:type="dxa"/>
        </w:tblCellMar>
        <w:tblLook w:val="0000" w:firstRow="0" w:lastRow="0" w:firstColumn="0" w:lastColumn="0" w:noHBand="0" w:noVBand="0"/>
      </w:tblPr>
      <w:tblGrid>
        <w:gridCol w:w="6092"/>
        <w:gridCol w:w="1270"/>
        <w:gridCol w:w="1494"/>
      </w:tblGrid>
      <w:tr w:rsidR="001602C0" w:rsidRPr="00A04EE3" w14:paraId="0D798420" w14:textId="77777777" w:rsidTr="00BC5EE4">
        <w:trPr>
          <w:trHeight w:val="344"/>
        </w:trPr>
        <w:tc>
          <w:tcPr>
            <w:tcW w:w="6092" w:type="dxa"/>
            <w:tcMar>
              <w:top w:w="0" w:type="dxa"/>
              <w:left w:w="108" w:type="dxa"/>
              <w:bottom w:w="0" w:type="dxa"/>
              <w:right w:w="108" w:type="dxa"/>
            </w:tcMar>
            <w:vAlign w:val="center"/>
          </w:tcPr>
          <w:p w14:paraId="394186BD" w14:textId="77777777" w:rsidR="001602C0" w:rsidRPr="00AA5D08" w:rsidRDefault="001602C0" w:rsidP="00BC5EE4">
            <w:pPr>
              <w:pStyle w:val="tablefigure0"/>
              <w:spacing w:before="0" w:beforeAutospacing="0"/>
              <w:rPr>
                <w:rFonts w:asciiTheme="minorHAnsi" w:hAnsiTheme="minorHAnsi" w:cs="Arial"/>
                <w:b/>
              </w:rPr>
            </w:pPr>
          </w:p>
        </w:tc>
        <w:tc>
          <w:tcPr>
            <w:tcW w:w="1270" w:type="dxa"/>
            <w:vAlign w:val="center"/>
          </w:tcPr>
          <w:p w14:paraId="21DAD482" w14:textId="77777777" w:rsidR="001602C0" w:rsidRPr="00AA5D08" w:rsidRDefault="001602C0" w:rsidP="00BC5EE4">
            <w:pPr>
              <w:pStyle w:val="tablefigure0"/>
              <w:spacing w:before="0" w:beforeAutospacing="0"/>
              <w:ind w:left="3260" w:hanging="3260"/>
              <w:jc w:val="center"/>
              <w:rPr>
                <w:rFonts w:asciiTheme="minorHAnsi" w:hAnsiTheme="minorHAnsi" w:cs="Arial"/>
                <w:b/>
              </w:rPr>
            </w:pPr>
            <w:r w:rsidRPr="00AA5D08">
              <w:rPr>
                <w:rFonts w:asciiTheme="minorHAnsi" w:hAnsiTheme="minorHAnsi" w:cs="Arial"/>
                <w:b/>
              </w:rPr>
              <w:t>£000s</w:t>
            </w:r>
          </w:p>
        </w:tc>
        <w:tc>
          <w:tcPr>
            <w:tcW w:w="1494" w:type="dxa"/>
            <w:tcMar>
              <w:top w:w="0" w:type="dxa"/>
              <w:left w:w="108" w:type="dxa"/>
              <w:bottom w:w="0" w:type="dxa"/>
              <w:right w:w="108" w:type="dxa"/>
            </w:tcMar>
            <w:vAlign w:val="center"/>
          </w:tcPr>
          <w:p w14:paraId="63173C84" w14:textId="77777777" w:rsidR="001602C0" w:rsidRPr="00AA5D08" w:rsidRDefault="001602C0" w:rsidP="00BC5EE4">
            <w:pPr>
              <w:pStyle w:val="tablefigure0"/>
              <w:spacing w:before="0" w:beforeAutospacing="0"/>
              <w:jc w:val="center"/>
              <w:rPr>
                <w:rFonts w:asciiTheme="minorHAnsi" w:hAnsiTheme="minorHAnsi" w:cs="Arial"/>
                <w:b/>
              </w:rPr>
            </w:pPr>
            <w:r w:rsidRPr="00AA5D08">
              <w:rPr>
                <w:rFonts w:asciiTheme="minorHAnsi" w:hAnsiTheme="minorHAnsi" w:cs="Arial"/>
                <w:b/>
              </w:rPr>
              <w:t>%</w:t>
            </w:r>
          </w:p>
        </w:tc>
      </w:tr>
      <w:tr w:rsidR="001602C0" w:rsidRPr="00976555" w14:paraId="59BE5263" w14:textId="77777777" w:rsidTr="00BC5EE4">
        <w:trPr>
          <w:trHeight w:val="344"/>
        </w:trPr>
        <w:tc>
          <w:tcPr>
            <w:tcW w:w="6092" w:type="dxa"/>
            <w:tcMar>
              <w:top w:w="0" w:type="dxa"/>
              <w:left w:w="108" w:type="dxa"/>
              <w:bottom w:w="0" w:type="dxa"/>
              <w:right w:w="108" w:type="dxa"/>
            </w:tcMar>
            <w:vAlign w:val="center"/>
          </w:tcPr>
          <w:p w14:paraId="09CE6FE2" w14:textId="77777777" w:rsidR="001602C0" w:rsidRPr="00976555" w:rsidRDefault="001602C0" w:rsidP="00E540A0">
            <w:pPr>
              <w:pStyle w:val="tablefigure0"/>
              <w:spacing w:before="0" w:beforeAutospacing="0" w:after="120" w:afterAutospacing="0"/>
              <w:rPr>
                <w:rFonts w:asciiTheme="minorHAnsi" w:hAnsiTheme="minorHAnsi" w:cs="Arial"/>
                <w:spacing w:val="-2"/>
              </w:rPr>
            </w:pPr>
            <w:r w:rsidRPr="00976555">
              <w:rPr>
                <w:rFonts w:asciiTheme="minorHAnsi" w:hAnsiTheme="minorHAnsi" w:cs="Arial"/>
                <w:spacing w:val="-2"/>
              </w:rPr>
              <w:t>BlackRock North America</w:t>
            </w:r>
          </w:p>
        </w:tc>
        <w:tc>
          <w:tcPr>
            <w:tcW w:w="1270" w:type="dxa"/>
            <w:vAlign w:val="center"/>
          </w:tcPr>
          <w:p w14:paraId="4FA6E3AD"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35,948</w:t>
            </w:r>
          </w:p>
        </w:tc>
        <w:tc>
          <w:tcPr>
            <w:tcW w:w="1494" w:type="dxa"/>
            <w:tcMar>
              <w:top w:w="0" w:type="dxa"/>
              <w:left w:w="108" w:type="dxa"/>
              <w:bottom w:w="0" w:type="dxa"/>
              <w:right w:w="108" w:type="dxa"/>
            </w:tcMar>
            <w:vAlign w:val="center"/>
          </w:tcPr>
          <w:p w14:paraId="507954FD"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21</w:t>
            </w:r>
          </w:p>
        </w:tc>
      </w:tr>
      <w:tr w:rsidR="001602C0" w:rsidRPr="00976555" w14:paraId="78C578B6" w14:textId="77777777" w:rsidTr="00BC5EE4">
        <w:trPr>
          <w:trHeight w:val="344"/>
        </w:trPr>
        <w:tc>
          <w:tcPr>
            <w:tcW w:w="6092" w:type="dxa"/>
            <w:tcMar>
              <w:top w:w="0" w:type="dxa"/>
              <w:left w:w="108" w:type="dxa"/>
              <w:bottom w:w="0" w:type="dxa"/>
              <w:right w:w="108" w:type="dxa"/>
            </w:tcMar>
            <w:vAlign w:val="center"/>
          </w:tcPr>
          <w:p w14:paraId="756B900E" w14:textId="77777777" w:rsidR="001602C0" w:rsidRPr="00976555" w:rsidRDefault="001602C0" w:rsidP="00E540A0">
            <w:pPr>
              <w:pStyle w:val="tablefigure0"/>
              <w:spacing w:before="0" w:beforeAutospacing="0" w:after="120" w:afterAutospacing="0"/>
              <w:rPr>
                <w:rFonts w:asciiTheme="minorHAnsi" w:hAnsiTheme="minorHAnsi" w:cs="Arial"/>
                <w:spacing w:val="-2"/>
              </w:rPr>
            </w:pPr>
            <w:proofErr w:type="spellStart"/>
            <w:r>
              <w:rPr>
                <w:rFonts w:asciiTheme="minorHAnsi" w:hAnsiTheme="minorHAnsi" w:cs="Arial"/>
                <w:spacing w:val="-2"/>
              </w:rPr>
              <w:t>Vontobel</w:t>
            </w:r>
            <w:proofErr w:type="spellEnd"/>
            <w:r>
              <w:rPr>
                <w:rFonts w:asciiTheme="minorHAnsi" w:hAnsiTheme="minorHAnsi" w:cs="Arial"/>
                <w:spacing w:val="-2"/>
              </w:rPr>
              <w:t xml:space="preserve"> - </w:t>
            </w:r>
            <w:proofErr w:type="spellStart"/>
            <w:r>
              <w:rPr>
                <w:rFonts w:asciiTheme="minorHAnsi" w:hAnsiTheme="minorHAnsi" w:cs="Arial"/>
                <w:spacing w:val="-2"/>
              </w:rPr>
              <w:t>TwentyFour</w:t>
            </w:r>
            <w:proofErr w:type="spellEnd"/>
            <w:r>
              <w:rPr>
                <w:rFonts w:asciiTheme="minorHAnsi" w:hAnsiTheme="minorHAnsi" w:cs="Arial"/>
                <w:spacing w:val="-2"/>
              </w:rPr>
              <w:t xml:space="preserve"> Strategic income Fund</w:t>
            </w:r>
          </w:p>
        </w:tc>
        <w:tc>
          <w:tcPr>
            <w:tcW w:w="1270" w:type="dxa"/>
            <w:vAlign w:val="center"/>
          </w:tcPr>
          <w:p w14:paraId="3A825F19"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14,775</w:t>
            </w:r>
          </w:p>
        </w:tc>
        <w:tc>
          <w:tcPr>
            <w:tcW w:w="1494" w:type="dxa"/>
            <w:tcMar>
              <w:top w:w="0" w:type="dxa"/>
              <w:left w:w="108" w:type="dxa"/>
              <w:bottom w:w="0" w:type="dxa"/>
              <w:right w:w="108" w:type="dxa"/>
            </w:tcMar>
            <w:vAlign w:val="center"/>
          </w:tcPr>
          <w:p w14:paraId="36871F38"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9</w:t>
            </w:r>
          </w:p>
        </w:tc>
      </w:tr>
      <w:tr w:rsidR="001602C0" w:rsidRPr="00976555" w14:paraId="57340843" w14:textId="77777777" w:rsidTr="00BC5EE4">
        <w:trPr>
          <w:trHeight w:val="344"/>
        </w:trPr>
        <w:tc>
          <w:tcPr>
            <w:tcW w:w="6092" w:type="dxa"/>
            <w:tcMar>
              <w:top w:w="0" w:type="dxa"/>
              <w:left w:w="108" w:type="dxa"/>
              <w:bottom w:w="0" w:type="dxa"/>
              <w:right w:w="108" w:type="dxa"/>
            </w:tcMar>
            <w:vAlign w:val="center"/>
          </w:tcPr>
          <w:p w14:paraId="4AB4E85C" w14:textId="77777777" w:rsidR="001602C0" w:rsidRPr="00976555" w:rsidRDefault="001602C0" w:rsidP="00E540A0">
            <w:pPr>
              <w:pStyle w:val="tablefigure0"/>
              <w:spacing w:before="0" w:beforeAutospacing="0" w:after="120" w:afterAutospacing="0"/>
              <w:rPr>
                <w:rFonts w:asciiTheme="minorHAnsi" w:hAnsiTheme="minorHAnsi" w:cs="Arial"/>
              </w:rPr>
            </w:pPr>
            <w:r>
              <w:rPr>
                <w:rFonts w:asciiTheme="minorHAnsi" w:hAnsiTheme="minorHAnsi" w:cs="Arial"/>
              </w:rPr>
              <w:t>BlackRock Fixed Income Global Opportunities Fund</w:t>
            </w:r>
          </w:p>
        </w:tc>
        <w:tc>
          <w:tcPr>
            <w:tcW w:w="1270" w:type="dxa"/>
            <w:vAlign w:val="center"/>
          </w:tcPr>
          <w:p w14:paraId="1942F035"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14,464</w:t>
            </w:r>
          </w:p>
        </w:tc>
        <w:tc>
          <w:tcPr>
            <w:tcW w:w="1494" w:type="dxa"/>
            <w:tcMar>
              <w:top w:w="0" w:type="dxa"/>
              <w:left w:w="108" w:type="dxa"/>
              <w:bottom w:w="0" w:type="dxa"/>
              <w:right w:w="108" w:type="dxa"/>
            </w:tcMar>
            <w:vAlign w:val="center"/>
          </w:tcPr>
          <w:p w14:paraId="3805F27A"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9</w:t>
            </w:r>
          </w:p>
        </w:tc>
      </w:tr>
      <w:tr w:rsidR="001602C0" w:rsidRPr="00976555" w14:paraId="5BAB12FC" w14:textId="77777777" w:rsidTr="00BC5EE4">
        <w:trPr>
          <w:trHeight w:val="344"/>
        </w:trPr>
        <w:tc>
          <w:tcPr>
            <w:tcW w:w="6092" w:type="dxa"/>
            <w:tcMar>
              <w:top w:w="0" w:type="dxa"/>
              <w:left w:w="108" w:type="dxa"/>
              <w:bottom w:w="0" w:type="dxa"/>
              <w:right w:w="108" w:type="dxa"/>
            </w:tcMar>
            <w:vAlign w:val="center"/>
          </w:tcPr>
          <w:p w14:paraId="022DD94C" w14:textId="77777777" w:rsidR="001602C0" w:rsidRPr="00976555" w:rsidRDefault="001602C0" w:rsidP="00E540A0">
            <w:pPr>
              <w:pStyle w:val="tablefigure0"/>
              <w:spacing w:before="0" w:beforeAutospacing="0" w:after="120" w:afterAutospacing="0"/>
              <w:rPr>
                <w:rFonts w:asciiTheme="minorHAnsi" w:hAnsiTheme="minorHAnsi" w:cs="Arial"/>
                <w:spacing w:val="-2"/>
              </w:rPr>
            </w:pPr>
            <w:r w:rsidRPr="00976555">
              <w:rPr>
                <w:rFonts w:asciiTheme="minorHAnsi" w:hAnsiTheme="minorHAnsi" w:cs="Arial"/>
                <w:spacing w:val="-2"/>
              </w:rPr>
              <w:t xml:space="preserve">Schroders QEP Global </w:t>
            </w:r>
            <w:r>
              <w:rPr>
                <w:rFonts w:asciiTheme="minorHAnsi" w:hAnsiTheme="minorHAnsi" w:cs="Arial"/>
                <w:spacing w:val="-2"/>
              </w:rPr>
              <w:t>C</w:t>
            </w:r>
            <w:r w:rsidRPr="00976555">
              <w:rPr>
                <w:rFonts w:asciiTheme="minorHAnsi" w:hAnsiTheme="minorHAnsi" w:cs="Arial"/>
                <w:spacing w:val="-2"/>
              </w:rPr>
              <w:t>ore Fund</w:t>
            </w:r>
          </w:p>
        </w:tc>
        <w:tc>
          <w:tcPr>
            <w:tcW w:w="1270" w:type="dxa"/>
            <w:vAlign w:val="center"/>
          </w:tcPr>
          <w:p w14:paraId="33F5DBC0"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12,974</w:t>
            </w:r>
          </w:p>
        </w:tc>
        <w:tc>
          <w:tcPr>
            <w:tcW w:w="1494" w:type="dxa"/>
            <w:tcMar>
              <w:top w:w="0" w:type="dxa"/>
              <w:left w:w="108" w:type="dxa"/>
              <w:bottom w:w="0" w:type="dxa"/>
              <w:right w:w="108" w:type="dxa"/>
            </w:tcMar>
            <w:vAlign w:val="center"/>
          </w:tcPr>
          <w:p w14:paraId="79FC35DB"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8</w:t>
            </w:r>
          </w:p>
        </w:tc>
      </w:tr>
      <w:tr w:rsidR="001602C0" w:rsidRPr="00976555" w14:paraId="67E63B68" w14:textId="77777777" w:rsidTr="00BC5EE4">
        <w:trPr>
          <w:trHeight w:val="375"/>
        </w:trPr>
        <w:tc>
          <w:tcPr>
            <w:tcW w:w="6092" w:type="dxa"/>
            <w:tcMar>
              <w:top w:w="0" w:type="dxa"/>
              <w:left w:w="108" w:type="dxa"/>
              <w:bottom w:w="0" w:type="dxa"/>
              <w:right w:w="108" w:type="dxa"/>
            </w:tcMar>
            <w:vAlign w:val="center"/>
          </w:tcPr>
          <w:p w14:paraId="4D043446" w14:textId="77777777" w:rsidR="001602C0" w:rsidRPr="00976555" w:rsidRDefault="001602C0" w:rsidP="00E540A0">
            <w:pPr>
              <w:pStyle w:val="tablefigure0"/>
              <w:spacing w:before="0" w:beforeAutospacing="0" w:after="120" w:afterAutospacing="0"/>
              <w:rPr>
                <w:rFonts w:asciiTheme="minorHAnsi" w:hAnsiTheme="minorHAnsi" w:cs="Arial"/>
                <w:spacing w:val="-2"/>
              </w:rPr>
            </w:pPr>
            <w:r w:rsidRPr="00944EEA">
              <w:rPr>
                <w:rFonts w:asciiTheme="minorHAnsi" w:hAnsiTheme="minorHAnsi" w:cs="Arial"/>
                <w:spacing w:val="-2"/>
              </w:rPr>
              <w:t>Sch</w:t>
            </w:r>
            <w:r>
              <w:rPr>
                <w:rFonts w:asciiTheme="minorHAnsi" w:hAnsiTheme="minorHAnsi" w:cs="Arial"/>
                <w:spacing w:val="-2"/>
              </w:rPr>
              <w:t>r</w:t>
            </w:r>
            <w:r w:rsidRPr="00944EEA">
              <w:rPr>
                <w:rFonts w:asciiTheme="minorHAnsi" w:hAnsiTheme="minorHAnsi" w:cs="Arial"/>
                <w:spacing w:val="-2"/>
              </w:rPr>
              <w:t>oders</w:t>
            </w:r>
            <w:r>
              <w:rPr>
                <w:rFonts w:asciiTheme="minorHAnsi" w:hAnsiTheme="minorHAnsi" w:cs="Arial"/>
                <w:spacing w:val="-2"/>
              </w:rPr>
              <w:t xml:space="preserve"> SISF Global Quality Fund</w:t>
            </w:r>
          </w:p>
        </w:tc>
        <w:tc>
          <w:tcPr>
            <w:tcW w:w="1270" w:type="dxa"/>
            <w:vAlign w:val="center"/>
          </w:tcPr>
          <w:p w14:paraId="35563C65" w14:textId="77777777" w:rsidR="001602C0"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9,757</w:t>
            </w:r>
          </w:p>
        </w:tc>
        <w:tc>
          <w:tcPr>
            <w:tcW w:w="1494" w:type="dxa"/>
            <w:tcMar>
              <w:top w:w="0" w:type="dxa"/>
              <w:left w:w="108" w:type="dxa"/>
              <w:bottom w:w="0" w:type="dxa"/>
              <w:right w:w="108" w:type="dxa"/>
            </w:tcMar>
            <w:vAlign w:val="center"/>
          </w:tcPr>
          <w:p w14:paraId="4857B5CC" w14:textId="77777777" w:rsidR="001602C0"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6</w:t>
            </w:r>
          </w:p>
        </w:tc>
      </w:tr>
      <w:tr w:rsidR="001602C0" w:rsidRPr="00976555" w14:paraId="6E77244C" w14:textId="77777777" w:rsidTr="00BC5EE4">
        <w:trPr>
          <w:trHeight w:val="375"/>
        </w:trPr>
        <w:tc>
          <w:tcPr>
            <w:tcW w:w="6092" w:type="dxa"/>
            <w:tcMar>
              <w:top w:w="0" w:type="dxa"/>
              <w:left w:w="108" w:type="dxa"/>
              <w:bottom w:w="0" w:type="dxa"/>
              <w:right w:w="108" w:type="dxa"/>
            </w:tcMar>
            <w:vAlign w:val="center"/>
          </w:tcPr>
          <w:p w14:paraId="0681FEFE" w14:textId="77777777" w:rsidR="001602C0" w:rsidRPr="00976555" w:rsidRDefault="001602C0" w:rsidP="00E540A0">
            <w:pPr>
              <w:pStyle w:val="tablefigure0"/>
              <w:spacing w:before="0" w:beforeAutospacing="0" w:after="120" w:afterAutospacing="0"/>
              <w:rPr>
                <w:rFonts w:asciiTheme="minorHAnsi" w:hAnsiTheme="minorHAnsi" w:cs="Arial"/>
              </w:rPr>
            </w:pPr>
            <w:r w:rsidRPr="00976555">
              <w:rPr>
                <w:rFonts w:asciiTheme="minorHAnsi" w:hAnsiTheme="minorHAnsi" w:cs="Arial"/>
                <w:spacing w:val="-2"/>
              </w:rPr>
              <w:t>BlackRock Europe</w:t>
            </w:r>
          </w:p>
        </w:tc>
        <w:tc>
          <w:tcPr>
            <w:tcW w:w="1270" w:type="dxa"/>
            <w:vAlign w:val="center"/>
          </w:tcPr>
          <w:p w14:paraId="44201391"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8,718</w:t>
            </w:r>
          </w:p>
        </w:tc>
        <w:tc>
          <w:tcPr>
            <w:tcW w:w="1494" w:type="dxa"/>
            <w:tcMar>
              <w:top w:w="0" w:type="dxa"/>
              <w:left w:w="108" w:type="dxa"/>
              <w:bottom w:w="0" w:type="dxa"/>
              <w:right w:w="108" w:type="dxa"/>
            </w:tcMar>
            <w:vAlign w:val="center"/>
          </w:tcPr>
          <w:p w14:paraId="1D9B6B7C" w14:textId="77777777" w:rsidR="001602C0" w:rsidRPr="00976555" w:rsidRDefault="001602C0" w:rsidP="00E540A0">
            <w:pPr>
              <w:pStyle w:val="tablefigure0"/>
              <w:spacing w:before="0" w:beforeAutospacing="0" w:after="120" w:afterAutospacing="0"/>
              <w:jc w:val="center"/>
              <w:rPr>
                <w:rFonts w:asciiTheme="minorHAnsi" w:hAnsiTheme="minorHAnsi" w:cs="Arial"/>
              </w:rPr>
            </w:pPr>
            <w:r>
              <w:rPr>
                <w:rFonts w:asciiTheme="minorHAnsi" w:hAnsiTheme="minorHAnsi" w:cs="Arial"/>
              </w:rPr>
              <w:t>5</w:t>
            </w:r>
          </w:p>
        </w:tc>
      </w:tr>
    </w:tbl>
    <w:p w14:paraId="6BB876E9" w14:textId="6AF7B03B" w:rsidR="001602C0" w:rsidRDefault="001602C0" w:rsidP="00983373">
      <w:pPr>
        <w:spacing w:before="240" w:after="120" w:line="240" w:lineRule="atLeast"/>
        <w:rPr>
          <w:rFonts w:asciiTheme="minorHAnsi" w:hAnsiTheme="minorHAnsi" w:cs="Arial"/>
          <w:b/>
          <w:bCs/>
          <w:color w:val="442359"/>
          <w:sz w:val="24"/>
          <w:szCs w:val="24"/>
        </w:rPr>
      </w:pPr>
      <w:r w:rsidRPr="00995E43">
        <w:rPr>
          <w:rFonts w:asciiTheme="minorHAnsi" w:hAnsiTheme="minorHAnsi" w:cs="Arial"/>
          <w:b/>
          <w:bCs/>
          <w:color w:val="442359"/>
          <w:sz w:val="24"/>
          <w:szCs w:val="24"/>
        </w:rPr>
        <w:t>Derivative Instruments</w:t>
      </w:r>
    </w:p>
    <w:p w14:paraId="4FA82450" w14:textId="314B6F92" w:rsidR="005F19EF" w:rsidRDefault="001602C0" w:rsidP="005F19EF">
      <w:pPr>
        <w:rPr>
          <w:rFonts w:ascii="Calibri" w:hAnsi="Calibri"/>
          <w:color w:val="002060"/>
        </w:rPr>
      </w:pPr>
      <w:r w:rsidRPr="009E6867">
        <w:rPr>
          <w:rFonts w:asciiTheme="minorHAnsi" w:hAnsiTheme="minorHAnsi" w:cs="Arial"/>
          <w:sz w:val="24"/>
          <w:szCs w:val="24"/>
        </w:rPr>
        <w:t xml:space="preserve">The trustees have authorised </w:t>
      </w:r>
      <w:r w:rsidRPr="009E6867">
        <w:rPr>
          <w:rFonts w:asciiTheme="minorHAnsi" w:hAnsiTheme="minorHAnsi" w:cs="Arial"/>
          <w:spacing w:val="-3"/>
          <w:kern w:val="2"/>
          <w:sz w:val="24"/>
          <w:szCs w:val="24"/>
        </w:rPr>
        <w:t xml:space="preserve">Schroders to use financial contracts, known as derivatives, </w:t>
      </w:r>
      <w:r w:rsidR="00BF5571">
        <w:rPr>
          <w:rFonts w:asciiTheme="minorHAnsi" w:hAnsiTheme="minorHAnsi" w:cs="Arial"/>
          <w:spacing w:val="-3"/>
          <w:kern w:val="2"/>
          <w:sz w:val="24"/>
          <w:szCs w:val="24"/>
        </w:rPr>
        <w:t>to help manage investment portfolio risk</w:t>
      </w:r>
      <w:r w:rsidRPr="009E6867">
        <w:rPr>
          <w:rFonts w:asciiTheme="minorHAnsi" w:hAnsiTheme="minorHAnsi" w:cs="Arial"/>
          <w:spacing w:val="-3"/>
          <w:kern w:val="2"/>
          <w:sz w:val="24"/>
          <w:szCs w:val="24"/>
        </w:rPr>
        <w:t xml:space="preserve">.  </w:t>
      </w:r>
      <w:r w:rsidRPr="009E6867">
        <w:rPr>
          <w:rFonts w:asciiTheme="minorHAnsi" w:hAnsiTheme="minorHAnsi" w:cs="Arial"/>
          <w:sz w:val="24"/>
          <w:szCs w:val="24"/>
        </w:rPr>
        <w:t>At the year end the open derivatives position was a net liability of £</w:t>
      </w:r>
      <w:r>
        <w:rPr>
          <w:rFonts w:asciiTheme="minorHAnsi" w:hAnsiTheme="minorHAnsi" w:cs="Arial"/>
          <w:sz w:val="24"/>
          <w:szCs w:val="24"/>
        </w:rPr>
        <w:t>1</w:t>
      </w:r>
      <w:r w:rsidRPr="009E6867">
        <w:rPr>
          <w:rFonts w:asciiTheme="minorHAnsi" w:hAnsiTheme="minorHAnsi" w:cs="Arial"/>
          <w:sz w:val="24"/>
          <w:szCs w:val="24"/>
        </w:rPr>
        <w:t>,000 (note 9) (201</w:t>
      </w:r>
      <w:r>
        <w:rPr>
          <w:rFonts w:asciiTheme="minorHAnsi" w:hAnsiTheme="minorHAnsi" w:cs="Arial"/>
          <w:sz w:val="24"/>
          <w:szCs w:val="24"/>
        </w:rPr>
        <w:t>7</w:t>
      </w:r>
      <w:r w:rsidRPr="009E6867">
        <w:rPr>
          <w:rFonts w:asciiTheme="minorHAnsi" w:hAnsiTheme="minorHAnsi" w:cs="Arial"/>
          <w:sz w:val="24"/>
          <w:szCs w:val="24"/>
        </w:rPr>
        <w:t xml:space="preserve">: net </w:t>
      </w:r>
      <w:r>
        <w:rPr>
          <w:rFonts w:asciiTheme="minorHAnsi" w:hAnsiTheme="minorHAnsi" w:cs="Arial"/>
          <w:sz w:val="24"/>
          <w:szCs w:val="24"/>
        </w:rPr>
        <w:t>asset</w:t>
      </w:r>
      <w:r w:rsidRPr="009E6867">
        <w:rPr>
          <w:rFonts w:asciiTheme="minorHAnsi" w:hAnsiTheme="minorHAnsi" w:cs="Arial"/>
          <w:sz w:val="24"/>
          <w:szCs w:val="24"/>
        </w:rPr>
        <w:t xml:space="preserve"> of £</w:t>
      </w:r>
      <w:r>
        <w:rPr>
          <w:rFonts w:asciiTheme="minorHAnsi" w:hAnsiTheme="minorHAnsi" w:cs="Arial"/>
          <w:sz w:val="24"/>
          <w:szCs w:val="24"/>
        </w:rPr>
        <w:t>101,000</w:t>
      </w:r>
      <w:r w:rsidRPr="009E6867">
        <w:rPr>
          <w:rFonts w:asciiTheme="minorHAnsi" w:hAnsiTheme="minorHAnsi" w:cs="Arial"/>
          <w:sz w:val="24"/>
          <w:szCs w:val="24"/>
        </w:rPr>
        <w:t>)</w:t>
      </w:r>
      <w:r w:rsidR="005F19EF" w:rsidRPr="005F19EF">
        <w:rPr>
          <w:rFonts w:ascii="Calibri" w:hAnsi="Calibri"/>
        </w:rPr>
        <w:t xml:space="preserve"> </w:t>
      </w:r>
      <w:r w:rsidR="005F19EF" w:rsidRPr="005F19EF">
        <w:rPr>
          <w:rFonts w:ascii="Calibri" w:hAnsi="Calibri"/>
          <w:sz w:val="24"/>
          <w:szCs w:val="24"/>
        </w:rPr>
        <w:t>but this is not an issue of concern as the</w:t>
      </w:r>
      <w:r w:rsidR="005F19EF" w:rsidRPr="005F19EF">
        <w:rPr>
          <w:sz w:val="24"/>
          <w:szCs w:val="24"/>
        </w:rPr>
        <w:t xml:space="preserve"> </w:t>
      </w:r>
      <w:r w:rsidR="005F19EF" w:rsidRPr="005F19EF">
        <w:rPr>
          <w:rFonts w:ascii="Calibri" w:hAnsi="Calibri"/>
          <w:sz w:val="24"/>
          <w:szCs w:val="24"/>
        </w:rPr>
        <w:t>value of derivatives fluctuates over time, based on market conditions</w:t>
      </w:r>
      <w:r w:rsidR="005F19EF">
        <w:rPr>
          <w:rFonts w:ascii="Calibri" w:hAnsi="Calibri"/>
          <w:sz w:val="24"/>
          <w:szCs w:val="24"/>
        </w:rPr>
        <w:t>.</w:t>
      </w:r>
    </w:p>
    <w:p w14:paraId="665CA682" w14:textId="77777777" w:rsidR="00983373" w:rsidRDefault="00983373">
      <w:pPr>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63051871" w14:textId="74045C7A" w:rsidR="001602C0" w:rsidRDefault="001602C0" w:rsidP="001602C0">
      <w:pPr>
        <w:spacing w:before="240" w:after="180" w:line="240" w:lineRule="atLeast"/>
        <w:rPr>
          <w:rFonts w:asciiTheme="minorHAnsi" w:hAnsiTheme="minorHAnsi" w:cs="Arial"/>
          <w:b/>
          <w:color w:val="442359"/>
          <w:sz w:val="24"/>
          <w:szCs w:val="24"/>
        </w:rPr>
      </w:pPr>
      <w:r w:rsidRPr="00995E43">
        <w:rPr>
          <w:rFonts w:asciiTheme="minorHAnsi" w:hAnsiTheme="minorHAnsi" w:cs="Arial"/>
          <w:b/>
          <w:color w:val="442359"/>
          <w:sz w:val="24"/>
          <w:szCs w:val="24"/>
        </w:rPr>
        <w:lastRenderedPageBreak/>
        <w:t>Diageo</w:t>
      </w:r>
      <w:r w:rsidRPr="009264BF">
        <w:rPr>
          <w:rFonts w:asciiTheme="minorHAnsi" w:hAnsiTheme="minorHAnsi" w:cs="Arial"/>
          <w:sz w:val="24"/>
          <w:szCs w:val="24"/>
        </w:rPr>
        <w:t xml:space="preserve"> </w:t>
      </w:r>
      <w:r w:rsidRPr="00995E43">
        <w:rPr>
          <w:rFonts w:asciiTheme="minorHAnsi" w:hAnsiTheme="minorHAnsi" w:cs="Arial"/>
          <w:b/>
          <w:color w:val="442359"/>
          <w:sz w:val="24"/>
          <w:szCs w:val="24"/>
        </w:rPr>
        <w:t>Covenant</w:t>
      </w:r>
    </w:p>
    <w:p w14:paraId="558799FD" w14:textId="14085DD0" w:rsidR="001602C0" w:rsidRDefault="001602C0" w:rsidP="001602C0">
      <w:pPr>
        <w:spacing w:after="180" w:line="240" w:lineRule="auto"/>
        <w:rPr>
          <w:rFonts w:asciiTheme="minorHAnsi" w:hAnsiTheme="minorHAnsi" w:cs="Arial"/>
          <w:sz w:val="24"/>
          <w:szCs w:val="24"/>
        </w:rPr>
      </w:pPr>
      <w:r w:rsidRPr="00976555">
        <w:rPr>
          <w:rFonts w:asciiTheme="minorHAnsi" w:hAnsiTheme="minorHAnsi" w:cs="Arial"/>
          <w:sz w:val="24"/>
          <w:szCs w:val="24"/>
        </w:rPr>
        <w:t xml:space="preserve">A </w:t>
      </w:r>
      <w:r>
        <w:rPr>
          <w:rFonts w:asciiTheme="minorHAnsi" w:hAnsiTheme="minorHAnsi" w:cs="Arial"/>
          <w:sz w:val="24"/>
          <w:szCs w:val="24"/>
        </w:rPr>
        <w:t>Deed of Covenant is in place, signed by the</w:t>
      </w:r>
      <w:r w:rsidRPr="00976555">
        <w:rPr>
          <w:rFonts w:asciiTheme="minorHAnsi" w:hAnsiTheme="minorHAnsi" w:cs="Arial"/>
          <w:sz w:val="24"/>
          <w:szCs w:val="24"/>
        </w:rPr>
        <w:t xml:space="preserve"> </w:t>
      </w:r>
      <w:r>
        <w:rPr>
          <w:rFonts w:asciiTheme="minorHAnsi" w:hAnsiTheme="minorHAnsi" w:cs="Arial"/>
          <w:sz w:val="24"/>
          <w:szCs w:val="24"/>
        </w:rPr>
        <w:t>t</w:t>
      </w:r>
      <w:r w:rsidRPr="00976555">
        <w:rPr>
          <w:rFonts w:asciiTheme="minorHAnsi" w:hAnsiTheme="minorHAnsi" w:cs="Arial"/>
          <w:sz w:val="24"/>
          <w:szCs w:val="24"/>
        </w:rPr>
        <w:t xml:space="preserve">rustees and Diageo </w:t>
      </w:r>
      <w:r w:rsidR="00642F7B">
        <w:rPr>
          <w:rFonts w:asciiTheme="minorHAnsi" w:hAnsiTheme="minorHAnsi" w:cs="Arial"/>
          <w:sz w:val="24"/>
          <w:szCs w:val="24"/>
        </w:rPr>
        <w:t xml:space="preserve">plc </w:t>
      </w:r>
      <w:r w:rsidRPr="00976555">
        <w:rPr>
          <w:rFonts w:asciiTheme="minorHAnsi" w:hAnsiTheme="minorHAnsi" w:cs="Arial"/>
          <w:sz w:val="24"/>
          <w:szCs w:val="24"/>
        </w:rPr>
        <w:t>(successor to The Distillers Company)</w:t>
      </w:r>
      <w:r w:rsidR="001C2D63">
        <w:rPr>
          <w:rFonts w:asciiTheme="minorHAnsi" w:hAnsiTheme="minorHAnsi" w:cs="Arial"/>
          <w:sz w:val="24"/>
          <w:szCs w:val="24"/>
        </w:rPr>
        <w:t>,</w:t>
      </w:r>
      <w:r>
        <w:rPr>
          <w:rFonts w:asciiTheme="minorHAnsi" w:hAnsiTheme="minorHAnsi" w:cs="Arial"/>
          <w:sz w:val="24"/>
          <w:szCs w:val="24"/>
        </w:rPr>
        <w:t xml:space="preserve"> which sets out </w:t>
      </w:r>
      <w:r w:rsidRPr="00976555">
        <w:rPr>
          <w:rFonts w:asciiTheme="minorHAnsi" w:hAnsiTheme="minorHAnsi" w:cs="Arial"/>
          <w:sz w:val="24"/>
          <w:szCs w:val="24"/>
        </w:rPr>
        <w:t>Diageo’s commitment to long-term support for Thalidomide Trust beneficiaries</w:t>
      </w:r>
      <w:r>
        <w:rPr>
          <w:rFonts w:asciiTheme="minorHAnsi" w:hAnsiTheme="minorHAnsi" w:cs="Arial"/>
          <w:sz w:val="24"/>
          <w:szCs w:val="24"/>
        </w:rPr>
        <w:t xml:space="preserve"> and </w:t>
      </w:r>
      <w:r w:rsidR="007F5A76" w:rsidRPr="00C41ED0">
        <w:rPr>
          <w:rFonts w:asciiTheme="minorHAnsi" w:hAnsiTheme="minorHAnsi" w:cs="Arial"/>
          <w:sz w:val="24"/>
          <w:szCs w:val="24"/>
        </w:rPr>
        <w:t xml:space="preserve">to underwrite </w:t>
      </w:r>
      <w:r w:rsidRPr="00C41ED0">
        <w:rPr>
          <w:rFonts w:asciiTheme="minorHAnsi" w:hAnsiTheme="minorHAnsi" w:cs="Arial"/>
          <w:sz w:val="24"/>
          <w:szCs w:val="24"/>
        </w:rPr>
        <w:t xml:space="preserve">the </w:t>
      </w:r>
      <w:r>
        <w:rPr>
          <w:rFonts w:asciiTheme="minorHAnsi" w:hAnsiTheme="minorHAnsi" w:cs="Arial"/>
          <w:sz w:val="24"/>
          <w:szCs w:val="24"/>
        </w:rPr>
        <w:t>investment policy of the Trust.</w:t>
      </w:r>
      <w:r w:rsidRPr="00976555">
        <w:rPr>
          <w:rFonts w:asciiTheme="minorHAnsi" w:hAnsiTheme="minorHAnsi" w:cs="Arial"/>
          <w:sz w:val="24"/>
          <w:szCs w:val="24"/>
        </w:rPr>
        <w:t xml:space="preserve"> </w:t>
      </w:r>
      <w:r>
        <w:rPr>
          <w:rFonts w:asciiTheme="minorHAnsi" w:hAnsiTheme="minorHAnsi" w:cs="Arial"/>
          <w:sz w:val="24"/>
          <w:szCs w:val="24"/>
        </w:rPr>
        <w:t xml:space="preserve"> T</w:t>
      </w:r>
      <w:r w:rsidRPr="00976555">
        <w:rPr>
          <w:rFonts w:asciiTheme="minorHAnsi" w:hAnsiTheme="minorHAnsi" w:cs="Arial"/>
          <w:sz w:val="24"/>
          <w:szCs w:val="24"/>
        </w:rPr>
        <w:t xml:space="preserve">he </w:t>
      </w:r>
      <w:r>
        <w:rPr>
          <w:rFonts w:asciiTheme="minorHAnsi" w:hAnsiTheme="minorHAnsi" w:cs="Arial"/>
          <w:sz w:val="24"/>
          <w:szCs w:val="24"/>
        </w:rPr>
        <w:t>C</w:t>
      </w:r>
      <w:r w:rsidRPr="00976555">
        <w:rPr>
          <w:rFonts w:asciiTheme="minorHAnsi" w:hAnsiTheme="minorHAnsi" w:cs="Arial"/>
          <w:sz w:val="24"/>
          <w:szCs w:val="24"/>
        </w:rPr>
        <w:t xml:space="preserve">ovenant </w:t>
      </w:r>
      <w:r>
        <w:rPr>
          <w:rFonts w:asciiTheme="minorHAnsi" w:hAnsiTheme="minorHAnsi" w:cs="Arial"/>
          <w:sz w:val="24"/>
          <w:szCs w:val="24"/>
        </w:rPr>
        <w:t>enables</w:t>
      </w:r>
      <w:r w:rsidRPr="00976555">
        <w:rPr>
          <w:rFonts w:asciiTheme="minorHAnsi" w:hAnsiTheme="minorHAnsi" w:cs="Arial"/>
          <w:sz w:val="24"/>
          <w:szCs w:val="24"/>
        </w:rPr>
        <w:t xml:space="preserve"> the Thalidomide Trust </w:t>
      </w:r>
      <w:r>
        <w:rPr>
          <w:rFonts w:asciiTheme="minorHAnsi" w:hAnsiTheme="minorHAnsi" w:cs="Arial"/>
          <w:sz w:val="24"/>
          <w:szCs w:val="24"/>
        </w:rPr>
        <w:t xml:space="preserve">both to </w:t>
      </w:r>
      <w:r w:rsidRPr="00976555">
        <w:rPr>
          <w:rFonts w:asciiTheme="minorHAnsi" w:hAnsiTheme="minorHAnsi" w:cs="Arial"/>
          <w:sz w:val="24"/>
          <w:szCs w:val="24"/>
        </w:rPr>
        <w:t xml:space="preserve">maintain the programme of </w:t>
      </w:r>
      <w:r>
        <w:rPr>
          <w:rFonts w:asciiTheme="minorHAnsi" w:hAnsiTheme="minorHAnsi" w:cs="Arial"/>
          <w:sz w:val="24"/>
          <w:szCs w:val="24"/>
        </w:rPr>
        <w:t>A</w:t>
      </w:r>
      <w:r w:rsidRPr="00976555">
        <w:rPr>
          <w:rFonts w:asciiTheme="minorHAnsi" w:hAnsiTheme="minorHAnsi" w:cs="Arial"/>
          <w:sz w:val="24"/>
          <w:szCs w:val="24"/>
        </w:rPr>
        <w:t xml:space="preserve">nnual </w:t>
      </w:r>
      <w:r>
        <w:rPr>
          <w:rFonts w:asciiTheme="minorHAnsi" w:hAnsiTheme="minorHAnsi" w:cs="Arial"/>
          <w:sz w:val="24"/>
          <w:szCs w:val="24"/>
        </w:rPr>
        <w:t>Grants to its beneficiaries and deliver ongoing support in response to their evolving and growing health and wellbeing needs.</w:t>
      </w:r>
    </w:p>
    <w:p w14:paraId="4E2B712D" w14:textId="68B5E681" w:rsidR="001602C0" w:rsidRDefault="001602C0" w:rsidP="001602C0">
      <w:pPr>
        <w:spacing w:after="240" w:line="240" w:lineRule="auto"/>
        <w:rPr>
          <w:rFonts w:asciiTheme="minorHAnsi" w:hAnsiTheme="minorHAnsi" w:cs="Arial"/>
          <w:sz w:val="24"/>
          <w:szCs w:val="24"/>
        </w:rPr>
      </w:pPr>
      <w:r>
        <w:rPr>
          <w:rFonts w:asciiTheme="minorHAnsi" w:hAnsiTheme="minorHAnsi" w:cs="Arial"/>
          <w:sz w:val="24"/>
          <w:szCs w:val="24"/>
        </w:rPr>
        <w:t>The Deed of Covenant is reviewed by the trustees, the NAC and Diageo every six years. In</w:t>
      </w:r>
      <w:r w:rsidR="00F80DAF">
        <w:rPr>
          <w:rFonts w:asciiTheme="minorHAnsi" w:hAnsiTheme="minorHAnsi" w:cs="Arial"/>
          <w:sz w:val="24"/>
          <w:szCs w:val="24"/>
        </w:rPr>
        <w:t xml:space="preserve"> </w:t>
      </w:r>
      <w:r w:rsidR="004C76EE">
        <w:rPr>
          <w:rFonts w:asciiTheme="minorHAnsi" w:hAnsiTheme="minorHAnsi" w:cs="Arial"/>
          <w:sz w:val="24"/>
          <w:szCs w:val="24"/>
        </w:rPr>
        <w:t>January 2018</w:t>
      </w:r>
      <w:r w:rsidR="001C2D63">
        <w:rPr>
          <w:rFonts w:asciiTheme="minorHAnsi" w:hAnsiTheme="minorHAnsi" w:cs="Arial"/>
          <w:sz w:val="24"/>
          <w:szCs w:val="24"/>
        </w:rPr>
        <w:t>,</w:t>
      </w:r>
      <w:r w:rsidR="004C76EE">
        <w:rPr>
          <w:rFonts w:asciiTheme="minorHAnsi" w:hAnsiTheme="minorHAnsi" w:cs="Arial"/>
          <w:sz w:val="24"/>
          <w:szCs w:val="24"/>
        </w:rPr>
        <w:t xml:space="preserve"> </w:t>
      </w:r>
      <w:r>
        <w:rPr>
          <w:rFonts w:asciiTheme="minorHAnsi" w:hAnsiTheme="minorHAnsi" w:cs="Arial"/>
          <w:sz w:val="24"/>
          <w:szCs w:val="24"/>
        </w:rPr>
        <w:t xml:space="preserve">an updated Deed of Covenant was agreed which reflects an increased level of support from Diageo. </w:t>
      </w:r>
    </w:p>
    <w:p w14:paraId="73A1A542" w14:textId="77777777" w:rsidR="001602C0" w:rsidRPr="00995E43" w:rsidRDefault="001602C0" w:rsidP="001602C0">
      <w:pPr>
        <w:spacing w:after="120" w:line="240" w:lineRule="atLeast"/>
        <w:rPr>
          <w:rFonts w:asciiTheme="minorHAnsi" w:hAnsiTheme="minorHAnsi" w:cs="Arial"/>
          <w:b/>
          <w:color w:val="442359"/>
          <w:sz w:val="24"/>
          <w:szCs w:val="24"/>
        </w:rPr>
      </w:pPr>
      <w:r w:rsidRPr="00995E43">
        <w:rPr>
          <w:rFonts w:asciiTheme="minorHAnsi" w:hAnsiTheme="minorHAnsi" w:cs="Arial"/>
          <w:b/>
          <w:color w:val="442359"/>
          <w:sz w:val="24"/>
          <w:szCs w:val="24"/>
        </w:rPr>
        <w:t>Government Health Grants</w:t>
      </w:r>
    </w:p>
    <w:p w14:paraId="1B4DD3FC" w14:textId="42A5E096" w:rsidR="001602C0" w:rsidRPr="00C15E3E" w:rsidRDefault="001602C0" w:rsidP="00C15E3E">
      <w:pPr>
        <w:spacing w:after="180" w:line="240" w:lineRule="atLeast"/>
        <w:rPr>
          <w:rFonts w:asciiTheme="minorHAnsi" w:hAnsiTheme="minorHAnsi" w:cs="Arial"/>
          <w:sz w:val="24"/>
          <w:szCs w:val="24"/>
        </w:rPr>
      </w:pPr>
      <w:r w:rsidRPr="00C15E3E">
        <w:rPr>
          <w:rFonts w:asciiTheme="minorHAnsi" w:hAnsiTheme="minorHAnsi" w:cs="Arial"/>
          <w:sz w:val="24"/>
          <w:szCs w:val="24"/>
        </w:rPr>
        <w:t>In addition to the assets held by the Trust and the income from Diageo, the UK government supports the Trust by way of Health Grant funding agreements in place with the four UK Health and Social Care Departments. These cover the next five years up until 2022, with total sums pledged over the 10 year period in excess of £100 million.  This money has helped beneficiaries to respond to their growing health needs as they age – in order to maximise their independence and quality of life, minimise further deterioration and improve their</w:t>
      </w:r>
      <w:r w:rsidR="00C41ED0">
        <w:rPr>
          <w:rFonts w:asciiTheme="minorHAnsi" w:hAnsiTheme="minorHAnsi" w:cs="Arial"/>
          <w:sz w:val="24"/>
          <w:szCs w:val="24"/>
        </w:rPr>
        <w:t xml:space="preserve"> </w:t>
      </w:r>
      <w:r w:rsidR="001C2D63" w:rsidRPr="00C41ED0">
        <w:rPr>
          <w:rFonts w:asciiTheme="minorHAnsi" w:hAnsiTheme="minorHAnsi" w:cs="Arial"/>
          <w:sz w:val="24"/>
          <w:szCs w:val="24"/>
        </w:rPr>
        <w:t xml:space="preserve">overall </w:t>
      </w:r>
      <w:r w:rsidRPr="00C15E3E">
        <w:rPr>
          <w:rFonts w:asciiTheme="minorHAnsi" w:hAnsiTheme="minorHAnsi" w:cs="Arial"/>
          <w:sz w:val="24"/>
          <w:szCs w:val="24"/>
        </w:rPr>
        <w:t xml:space="preserve">health and wellbeing.  </w:t>
      </w:r>
    </w:p>
    <w:p w14:paraId="13CA1988" w14:textId="77777777" w:rsidR="001602C0" w:rsidRDefault="001602C0" w:rsidP="001602C0">
      <w:pPr>
        <w:pStyle w:val="BodyText"/>
        <w:spacing w:after="120" w:line="240" w:lineRule="atLeast"/>
        <w:rPr>
          <w:rFonts w:asciiTheme="minorHAnsi" w:hAnsiTheme="minorHAnsi" w:cs="Arial"/>
          <w:b/>
          <w:bCs/>
          <w:color w:val="442359"/>
          <w:sz w:val="24"/>
          <w:szCs w:val="24"/>
        </w:rPr>
      </w:pPr>
      <w:r>
        <w:rPr>
          <w:rFonts w:asciiTheme="minorHAnsi" w:hAnsiTheme="minorHAnsi" w:cs="Arial"/>
          <w:b/>
          <w:bCs/>
          <w:color w:val="442359"/>
          <w:sz w:val="24"/>
          <w:szCs w:val="24"/>
        </w:rPr>
        <w:t>Grant Making</w:t>
      </w:r>
      <w:r w:rsidRPr="00995E43">
        <w:rPr>
          <w:rFonts w:asciiTheme="minorHAnsi" w:hAnsiTheme="minorHAnsi" w:cs="Arial"/>
          <w:b/>
          <w:bCs/>
          <w:color w:val="442359"/>
          <w:sz w:val="24"/>
          <w:szCs w:val="24"/>
        </w:rPr>
        <w:t xml:space="preserve"> and Reserves Policy</w:t>
      </w:r>
    </w:p>
    <w:p w14:paraId="4B42259C" w14:textId="32F01E53" w:rsidR="001602C0" w:rsidRPr="0015169A" w:rsidRDefault="001602C0" w:rsidP="001602C0">
      <w:pPr>
        <w:spacing w:after="180" w:line="240" w:lineRule="atLeast"/>
        <w:rPr>
          <w:rFonts w:asciiTheme="minorHAnsi" w:hAnsiTheme="minorHAnsi" w:cs="Arial"/>
          <w:sz w:val="24"/>
          <w:szCs w:val="24"/>
        </w:rPr>
      </w:pPr>
      <w:r>
        <w:rPr>
          <w:rFonts w:asciiTheme="minorHAnsi" w:hAnsiTheme="minorHAnsi" w:cs="Arial"/>
          <w:sz w:val="24"/>
          <w:szCs w:val="24"/>
        </w:rPr>
        <w:t>Beneficiaries receive an</w:t>
      </w:r>
      <w:r w:rsidRPr="0015169A">
        <w:rPr>
          <w:rFonts w:asciiTheme="minorHAnsi" w:hAnsiTheme="minorHAnsi" w:cs="Arial"/>
          <w:sz w:val="24"/>
          <w:szCs w:val="24"/>
        </w:rPr>
        <w:t xml:space="preserve"> Annual Grant</w:t>
      </w:r>
      <w:r w:rsidR="001C2D63">
        <w:rPr>
          <w:rFonts w:asciiTheme="minorHAnsi" w:hAnsiTheme="minorHAnsi" w:cs="Arial"/>
          <w:sz w:val="24"/>
          <w:szCs w:val="24"/>
        </w:rPr>
        <w:t>,</w:t>
      </w:r>
      <w:r w:rsidRPr="0015169A">
        <w:rPr>
          <w:rFonts w:asciiTheme="minorHAnsi" w:hAnsiTheme="minorHAnsi" w:cs="Arial"/>
          <w:sz w:val="24"/>
          <w:szCs w:val="24"/>
        </w:rPr>
        <w:t xml:space="preserve"> </w:t>
      </w:r>
      <w:r>
        <w:rPr>
          <w:rFonts w:asciiTheme="minorHAnsi" w:hAnsiTheme="minorHAnsi" w:cs="Arial"/>
          <w:sz w:val="24"/>
          <w:szCs w:val="24"/>
        </w:rPr>
        <w:t>based on their level of disability</w:t>
      </w:r>
      <w:r w:rsidR="001C2D63">
        <w:rPr>
          <w:rFonts w:asciiTheme="minorHAnsi" w:hAnsiTheme="minorHAnsi" w:cs="Arial"/>
          <w:sz w:val="24"/>
          <w:szCs w:val="24"/>
        </w:rPr>
        <w:t>,</w:t>
      </w:r>
      <w:r>
        <w:rPr>
          <w:rFonts w:asciiTheme="minorHAnsi" w:hAnsiTheme="minorHAnsi" w:cs="Arial"/>
          <w:sz w:val="24"/>
          <w:szCs w:val="24"/>
        </w:rPr>
        <w:t xml:space="preserve"> from funds that come from Diageo each year in line with the Covenant and </w:t>
      </w:r>
      <w:r w:rsidRPr="0015169A">
        <w:rPr>
          <w:rFonts w:asciiTheme="minorHAnsi" w:hAnsiTheme="minorHAnsi" w:cs="Arial"/>
          <w:sz w:val="24"/>
          <w:szCs w:val="24"/>
        </w:rPr>
        <w:t>the Trust’s reserves</w:t>
      </w:r>
      <w:r w:rsidR="001C2D63">
        <w:rPr>
          <w:rFonts w:asciiTheme="minorHAnsi" w:hAnsiTheme="minorHAnsi" w:cs="Arial"/>
          <w:sz w:val="24"/>
          <w:szCs w:val="24"/>
        </w:rPr>
        <w:t>,</w:t>
      </w:r>
      <w:r w:rsidRPr="0015169A">
        <w:rPr>
          <w:rFonts w:asciiTheme="minorHAnsi" w:hAnsiTheme="minorHAnsi" w:cs="Arial"/>
          <w:sz w:val="24"/>
          <w:szCs w:val="24"/>
        </w:rPr>
        <w:t xml:space="preserve"> </w:t>
      </w:r>
      <w:r>
        <w:rPr>
          <w:rFonts w:asciiTheme="minorHAnsi" w:hAnsiTheme="minorHAnsi" w:cs="Arial"/>
          <w:sz w:val="24"/>
          <w:szCs w:val="24"/>
        </w:rPr>
        <w:t>including</w:t>
      </w:r>
      <w:r w:rsidRPr="0015169A">
        <w:rPr>
          <w:rFonts w:asciiTheme="minorHAnsi" w:hAnsiTheme="minorHAnsi" w:cs="Arial"/>
          <w:sz w:val="24"/>
          <w:szCs w:val="24"/>
        </w:rPr>
        <w:t xml:space="preserve"> the interest and investment growth </w:t>
      </w:r>
      <w:r>
        <w:rPr>
          <w:rFonts w:asciiTheme="minorHAnsi" w:hAnsiTheme="minorHAnsi" w:cs="Arial"/>
          <w:sz w:val="24"/>
          <w:szCs w:val="24"/>
        </w:rPr>
        <w:t>accrued</w:t>
      </w:r>
      <w:r w:rsidRPr="0015169A">
        <w:rPr>
          <w:rFonts w:asciiTheme="minorHAnsi" w:hAnsiTheme="minorHAnsi" w:cs="Arial"/>
          <w:sz w:val="24"/>
          <w:szCs w:val="24"/>
        </w:rPr>
        <w:t xml:space="preserve">.  </w:t>
      </w:r>
    </w:p>
    <w:p w14:paraId="43A9BC25" w14:textId="15A12DF7" w:rsidR="001602C0" w:rsidRPr="00C41ED0" w:rsidRDefault="001602C0" w:rsidP="001602C0">
      <w:pPr>
        <w:pStyle w:val="BodyText"/>
        <w:spacing w:after="240" w:line="240" w:lineRule="atLeast"/>
        <w:rPr>
          <w:rFonts w:asciiTheme="minorHAnsi" w:hAnsiTheme="minorHAnsi" w:cs="Arial"/>
          <w:sz w:val="24"/>
          <w:szCs w:val="24"/>
        </w:rPr>
      </w:pPr>
      <w:r w:rsidRPr="00976555">
        <w:rPr>
          <w:rFonts w:asciiTheme="minorHAnsi" w:hAnsiTheme="minorHAnsi" w:cs="Arial"/>
          <w:sz w:val="24"/>
          <w:szCs w:val="24"/>
        </w:rPr>
        <w:t xml:space="preserve">The </w:t>
      </w:r>
      <w:r>
        <w:rPr>
          <w:rFonts w:asciiTheme="minorHAnsi" w:hAnsiTheme="minorHAnsi" w:cs="Arial"/>
          <w:sz w:val="24"/>
          <w:szCs w:val="24"/>
        </w:rPr>
        <w:t>t</w:t>
      </w:r>
      <w:r w:rsidRPr="00976555">
        <w:rPr>
          <w:rFonts w:asciiTheme="minorHAnsi" w:hAnsiTheme="minorHAnsi" w:cs="Arial"/>
          <w:sz w:val="24"/>
          <w:szCs w:val="24"/>
        </w:rPr>
        <w:t xml:space="preserve">rustees’ distribution policy continues to provide individual </w:t>
      </w:r>
      <w:r>
        <w:rPr>
          <w:rFonts w:asciiTheme="minorHAnsi" w:hAnsiTheme="minorHAnsi" w:cs="Arial"/>
          <w:sz w:val="24"/>
          <w:szCs w:val="24"/>
        </w:rPr>
        <w:t>A</w:t>
      </w:r>
      <w:r w:rsidRPr="00976555">
        <w:rPr>
          <w:rFonts w:asciiTheme="minorHAnsi" w:hAnsiTheme="minorHAnsi" w:cs="Arial"/>
          <w:sz w:val="24"/>
          <w:szCs w:val="24"/>
        </w:rPr>
        <w:t>nnual</w:t>
      </w:r>
      <w:r w:rsidRPr="00976555">
        <w:rPr>
          <w:rFonts w:asciiTheme="minorHAnsi" w:hAnsiTheme="minorHAnsi" w:cs="Arial"/>
          <w:color w:val="FF0000"/>
          <w:sz w:val="24"/>
          <w:szCs w:val="24"/>
        </w:rPr>
        <w:t xml:space="preserve"> </w:t>
      </w:r>
      <w:r>
        <w:rPr>
          <w:rFonts w:asciiTheme="minorHAnsi" w:hAnsiTheme="minorHAnsi" w:cs="Arial"/>
          <w:sz w:val="24"/>
          <w:szCs w:val="24"/>
        </w:rPr>
        <w:t>G</w:t>
      </w:r>
      <w:r w:rsidRPr="00976555">
        <w:rPr>
          <w:rFonts w:asciiTheme="minorHAnsi" w:hAnsiTheme="minorHAnsi" w:cs="Arial"/>
          <w:sz w:val="24"/>
          <w:szCs w:val="24"/>
        </w:rPr>
        <w:t xml:space="preserve">rants to beneficiaries for the whole of their lives. The </w:t>
      </w:r>
      <w:r>
        <w:rPr>
          <w:rFonts w:asciiTheme="minorHAnsi" w:hAnsiTheme="minorHAnsi" w:cs="Arial"/>
          <w:sz w:val="24"/>
          <w:szCs w:val="24"/>
        </w:rPr>
        <w:t>t</w:t>
      </w:r>
      <w:r w:rsidRPr="00976555">
        <w:rPr>
          <w:rFonts w:asciiTheme="minorHAnsi" w:hAnsiTheme="minorHAnsi" w:cs="Arial"/>
          <w:sz w:val="24"/>
          <w:szCs w:val="24"/>
        </w:rPr>
        <w:t xml:space="preserve">rustees have to set a policy which will ensure reserves are not depleted whilst beneficiaries are in need of funding, </w:t>
      </w:r>
      <w:r>
        <w:rPr>
          <w:rFonts w:asciiTheme="minorHAnsi" w:hAnsiTheme="minorHAnsi" w:cs="Arial"/>
          <w:sz w:val="24"/>
          <w:szCs w:val="24"/>
        </w:rPr>
        <w:t xml:space="preserve">whilst at the same time </w:t>
      </w:r>
      <w:r w:rsidRPr="00976555">
        <w:rPr>
          <w:rFonts w:asciiTheme="minorHAnsi" w:hAnsiTheme="minorHAnsi" w:cs="Arial"/>
          <w:sz w:val="24"/>
          <w:szCs w:val="24"/>
        </w:rPr>
        <w:t xml:space="preserve">ensuring all assets are utilised by the time of the death of the last beneficiary. </w:t>
      </w:r>
      <w:r w:rsidR="001B1BB5">
        <w:rPr>
          <w:rFonts w:asciiTheme="minorHAnsi" w:hAnsiTheme="minorHAnsi" w:cs="Arial"/>
          <w:sz w:val="24"/>
          <w:szCs w:val="24"/>
        </w:rPr>
        <w:t>The total unrestricted funds at 30 Sept</w:t>
      </w:r>
      <w:r w:rsidR="008D1726">
        <w:rPr>
          <w:rFonts w:asciiTheme="minorHAnsi" w:hAnsiTheme="minorHAnsi" w:cs="Arial"/>
          <w:sz w:val="24"/>
          <w:szCs w:val="24"/>
        </w:rPr>
        <w:t>ember 2018 stood at £164.4M (</w:t>
      </w:r>
      <w:r w:rsidR="001B1BB5">
        <w:rPr>
          <w:rFonts w:asciiTheme="minorHAnsi" w:hAnsiTheme="minorHAnsi" w:cs="Arial"/>
          <w:sz w:val="24"/>
          <w:szCs w:val="24"/>
        </w:rPr>
        <w:t>2017: £15</w:t>
      </w:r>
      <w:r w:rsidR="000F00DE">
        <w:rPr>
          <w:rFonts w:asciiTheme="minorHAnsi" w:hAnsiTheme="minorHAnsi" w:cs="Arial"/>
          <w:sz w:val="24"/>
          <w:szCs w:val="24"/>
        </w:rPr>
        <w:t>9.5</w:t>
      </w:r>
      <w:r w:rsidR="001B1BB5">
        <w:rPr>
          <w:rFonts w:asciiTheme="minorHAnsi" w:hAnsiTheme="minorHAnsi" w:cs="Arial"/>
          <w:sz w:val="24"/>
          <w:szCs w:val="24"/>
        </w:rPr>
        <w:t>M) whereas the Restricted Fund had a defici</w:t>
      </w:r>
      <w:r w:rsidR="00A35AE7">
        <w:rPr>
          <w:rFonts w:asciiTheme="minorHAnsi" w:hAnsiTheme="minorHAnsi" w:cs="Arial"/>
          <w:sz w:val="24"/>
          <w:szCs w:val="24"/>
        </w:rPr>
        <w:t>t of £</w:t>
      </w:r>
      <w:r w:rsidR="000F00DE">
        <w:rPr>
          <w:rFonts w:asciiTheme="minorHAnsi" w:hAnsiTheme="minorHAnsi" w:cs="Arial"/>
          <w:sz w:val="24"/>
          <w:szCs w:val="24"/>
        </w:rPr>
        <w:t>0.4M</w:t>
      </w:r>
      <w:r w:rsidR="00A35AE7">
        <w:rPr>
          <w:rFonts w:asciiTheme="minorHAnsi" w:hAnsiTheme="minorHAnsi" w:cs="Arial"/>
          <w:sz w:val="24"/>
          <w:szCs w:val="24"/>
        </w:rPr>
        <w:t xml:space="preserve"> at the year-end (</w:t>
      </w:r>
      <w:r w:rsidR="001B1BB5">
        <w:rPr>
          <w:rFonts w:asciiTheme="minorHAnsi" w:hAnsiTheme="minorHAnsi" w:cs="Arial"/>
          <w:sz w:val="24"/>
          <w:szCs w:val="24"/>
        </w:rPr>
        <w:t>2017: £</w:t>
      </w:r>
      <w:r w:rsidR="000F00DE">
        <w:rPr>
          <w:rFonts w:asciiTheme="minorHAnsi" w:hAnsiTheme="minorHAnsi" w:cs="Arial"/>
          <w:sz w:val="24"/>
          <w:szCs w:val="24"/>
        </w:rPr>
        <w:t>0.6M</w:t>
      </w:r>
      <w:r w:rsidR="001B1BB5">
        <w:rPr>
          <w:rFonts w:asciiTheme="minorHAnsi" w:hAnsiTheme="minorHAnsi" w:cs="Arial"/>
          <w:sz w:val="24"/>
          <w:szCs w:val="24"/>
        </w:rPr>
        <w:t>)</w:t>
      </w:r>
      <w:r w:rsidR="007F5A76">
        <w:rPr>
          <w:rFonts w:asciiTheme="minorHAnsi" w:hAnsiTheme="minorHAnsi" w:cs="Arial"/>
          <w:sz w:val="24"/>
          <w:szCs w:val="24"/>
        </w:rPr>
        <w:t xml:space="preserve"> due to the timing of Health Grant receipts and payments.  </w:t>
      </w:r>
      <w:r w:rsidR="007F5A76" w:rsidRPr="00C41ED0">
        <w:rPr>
          <w:rFonts w:asciiTheme="minorHAnsi" w:hAnsiTheme="minorHAnsi" w:cs="Arial"/>
          <w:sz w:val="24"/>
          <w:szCs w:val="24"/>
        </w:rPr>
        <w:t xml:space="preserve">This deficit </w:t>
      </w:r>
      <w:r w:rsidR="00983373" w:rsidRPr="00C41ED0">
        <w:rPr>
          <w:rFonts w:asciiTheme="minorHAnsi" w:hAnsiTheme="minorHAnsi" w:cs="Arial"/>
          <w:sz w:val="24"/>
          <w:szCs w:val="24"/>
        </w:rPr>
        <w:t xml:space="preserve">is expected to be </w:t>
      </w:r>
      <w:r w:rsidR="007F5A76" w:rsidRPr="00C41ED0">
        <w:rPr>
          <w:rFonts w:asciiTheme="minorHAnsi" w:hAnsiTheme="minorHAnsi" w:cs="Arial"/>
          <w:sz w:val="24"/>
          <w:szCs w:val="24"/>
        </w:rPr>
        <w:t>eliminated by the end of the ten year Grant period.</w:t>
      </w:r>
    </w:p>
    <w:p w14:paraId="61A3B58D" w14:textId="2B215727" w:rsidR="001602C0" w:rsidRPr="00995E43" w:rsidRDefault="001602C0" w:rsidP="001602C0">
      <w:pPr>
        <w:autoSpaceDE w:val="0"/>
        <w:autoSpaceDN w:val="0"/>
        <w:adjustRightInd w:val="0"/>
        <w:spacing w:after="120" w:line="240" w:lineRule="auto"/>
        <w:rPr>
          <w:rFonts w:asciiTheme="minorHAnsi" w:hAnsiTheme="minorHAnsi" w:cs="Arial"/>
          <w:b/>
          <w:bCs/>
          <w:color w:val="442359"/>
          <w:sz w:val="24"/>
          <w:szCs w:val="24"/>
        </w:rPr>
      </w:pPr>
      <w:r w:rsidRPr="00995E43">
        <w:rPr>
          <w:rFonts w:asciiTheme="minorHAnsi" w:hAnsiTheme="minorHAnsi" w:cs="Arial"/>
          <w:b/>
          <w:bCs/>
          <w:color w:val="442359"/>
          <w:sz w:val="24"/>
          <w:szCs w:val="24"/>
        </w:rPr>
        <w:t xml:space="preserve">Statement of </w:t>
      </w:r>
      <w:r w:rsidR="005E31DC">
        <w:rPr>
          <w:rFonts w:asciiTheme="minorHAnsi" w:hAnsiTheme="minorHAnsi" w:cs="Arial"/>
          <w:b/>
          <w:bCs/>
          <w:color w:val="442359"/>
          <w:sz w:val="24"/>
          <w:szCs w:val="24"/>
        </w:rPr>
        <w:t xml:space="preserve">the Corporate </w:t>
      </w:r>
      <w:r w:rsidR="00B87DB1">
        <w:rPr>
          <w:rFonts w:asciiTheme="minorHAnsi" w:hAnsiTheme="minorHAnsi" w:cs="Arial"/>
          <w:b/>
          <w:bCs/>
          <w:color w:val="442359"/>
          <w:sz w:val="24"/>
          <w:szCs w:val="24"/>
        </w:rPr>
        <w:t>Trustee</w:t>
      </w:r>
      <w:r w:rsidR="005E31DC">
        <w:rPr>
          <w:rFonts w:asciiTheme="minorHAnsi" w:hAnsiTheme="minorHAnsi" w:cs="Arial"/>
          <w:b/>
          <w:bCs/>
          <w:color w:val="442359"/>
          <w:sz w:val="24"/>
          <w:szCs w:val="24"/>
        </w:rPr>
        <w:t>’s</w:t>
      </w:r>
      <w:r w:rsidRPr="00995E43">
        <w:rPr>
          <w:rFonts w:asciiTheme="minorHAnsi" w:hAnsiTheme="minorHAnsi" w:cs="Arial"/>
          <w:b/>
          <w:bCs/>
          <w:color w:val="442359"/>
          <w:sz w:val="24"/>
          <w:szCs w:val="24"/>
        </w:rPr>
        <w:t xml:space="preserve"> Responsibilities</w:t>
      </w:r>
    </w:p>
    <w:p w14:paraId="59CBD3B8" w14:textId="2B34ABA2" w:rsidR="00B87DB1" w:rsidRPr="007A68E9" w:rsidRDefault="00B87DB1" w:rsidP="00C41ED0">
      <w:pPr>
        <w:autoSpaceDE w:val="0"/>
        <w:autoSpaceDN w:val="0"/>
        <w:adjustRightInd w:val="0"/>
        <w:spacing w:after="180" w:line="240" w:lineRule="auto"/>
        <w:rPr>
          <w:rFonts w:asciiTheme="minorHAnsi" w:hAnsiTheme="minorHAnsi" w:cstheme="minorHAnsi"/>
          <w:sz w:val="24"/>
          <w:szCs w:val="24"/>
        </w:rPr>
      </w:pPr>
      <w:r w:rsidRPr="007A68E9">
        <w:rPr>
          <w:rFonts w:asciiTheme="minorHAnsi" w:hAnsiTheme="minorHAnsi" w:cstheme="minorHAnsi"/>
          <w:sz w:val="24"/>
          <w:szCs w:val="24"/>
        </w:rPr>
        <w:t xml:space="preserve">The </w:t>
      </w:r>
      <w:r w:rsidR="007A68E9">
        <w:rPr>
          <w:rFonts w:asciiTheme="minorHAnsi" w:hAnsiTheme="minorHAnsi" w:cstheme="minorHAnsi"/>
          <w:sz w:val="24"/>
          <w:szCs w:val="24"/>
        </w:rPr>
        <w:t>T</w:t>
      </w:r>
      <w:r w:rsidRPr="007A68E9">
        <w:rPr>
          <w:rFonts w:asciiTheme="minorHAnsi" w:hAnsiTheme="minorHAnsi" w:cstheme="minorHAnsi"/>
          <w:sz w:val="24"/>
          <w:szCs w:val="24"/>
        </w:rPr>
        <w:t>rustee</w:t>
      </w:r>
      <w:r w:rsidR="005E31DC">
        <w:rPr>
          <w:rFonts w:asciiTheme="minorHAnsi" w:hAnsiTheme="minorHAnsi" w:cstheme="minorHAnsi"/>
          <w:sz w:val="24"/>
          <w:szCs w:val="24"/>
        </w:rPr>
        <w:t xml:space="preserve"> is</w:t>
      </w:r>
      <w:r w:rsidRPr="007A68E9">
        <w:rPr>
          <w:rFonts w:asciiTheme="minorHAnsi" w:hAnsiTheme="minorHAnsi" w:cstheme="minorHAnsi"/>
          <w:sz w:val="24"/>
          <w:szCs w:val="24"/>
        </w:rPr>
        <w:t xml:space="preserve"> responsible for preparing the Trustee</w:t>
      </w:r>
      <w:r w:rsidR="005E31DC">
        <w:rPr>
          <w:rFonts w:asciiTheme="minorHAnsi" w:hAnsiTheme="minorHAnsi" w:cstheme="minorHAnsi"/>
          <w:sz w:val="24"/>
          <w:szCs w:val="24"/>
        </w:rPr>
        <w:t>’s</w:t>
      </w:r>
      <w:r w:rsidRPr="007A68E9">
        <w:rPr>
          <w:rFonts w:asciiTheme="minorHAnsi" w:hAnsiTheme="minorHAnsi" w:cstheme="minorHAnsi"/>
          <w:sz w:val="24"/>
          <w:szCs w:val="24"/>
        </w:rPr>
        <w:t xml:space="preserve"> Annual Report and the financial statements in accordance with applicable law and United Kingdom Accounting Standards (United Kingdom Generally Accepted Accounting Practice).</w:t>
      </w:r>
    </w:p>
    <w:p w14:paraId="6293E7E6" w14:textId="1EA91ECD" w:rsidR="00B87DB1" w:rsidRPr="007A68E9" w:rsidRDefault="00B87DB1" w:rsidP="00C41ED0">
      <w:pPr>
        <w:autoSpaceDE w:val="0"/>
        <w:autoSpaceDN w:val="0"/>
        <w:adjustRightInd w:val="0"/>
        <w:spacing w:after="180" w:line="240" w:lineRule="auto"/>
        <w:rPr>
          <w:rFonts w:asciiTheme="minorHAnsi" w:hAnsiTheme="minorHAnsi" w:cstheme="minorHAnsi"/>
          <w:sz w:val="24"/>
          <w:szCs w:val="24"/>
        </w:rPr>
      </w:pPr>
      <w:r w:rsidRPr="007A68E9">
        <w:rPr>
          <w:rFonts w:asciiTheme="minorHAnsi" w:hAnsiTheme="minorHAnsi" w:cstheme="minorHAnsi"/>
          <w:sz w:val="24"/>
          <w:szCs w:val="24"/>
        </w:rPr>
        <w:t>The law applicable to charities in England</w:t>
      </w:r>
      <w:r w:rsidR="005E31DC" w:rsidRPr="004A1ED8">
        <w:rPr>
          <w:rFonts w:asciiTheme="minorHAnsi" w:hAnsiTheme="minorHAnsi" w:cstheme="minorHAnsi"/>
          <w:sz w:val="24"/>
          <w:szCs w:val="24"/>
        </w:rPr>
        <w:t xml:space="preserve"> and Wales requires the trustee</w:t>
      </w:r>
      <w:r w:rsidRPr="007A68E9">
        <w:rPr>
          <w:rFonts w:asciiTheme="minorHAnsi" w:hAnsiTheme="minorHAnsi" w:cstheme="minorHAnsi"/>
          <w:sz w:val="24"/>
          <w:szCs w:val="24"/>
        </w:rPr>
        <w:t xml:space="preserve"> to prepare financial statements for each financial year which give a true and fair view of the state of affairs of the charity and of the incoming resources and application of resources of the charity for that period. </w:t>
      </w:r>
    </w:p>
    <w:p w14:paraId="744825FA" w14:textId="78CDE8A6" w:rsidR="00B87DB1" w:rsidRPr="007A68E9" w:rsidRDefault="00B87DB1" w:rsidP="00C41ED0">
      <w:pPr>
        <w:autoSpaceDE w:val="0"/>
        <w:autoSpaceDN w:val="0"/>
        <w:adjustRightInd w:val="0"/>
        <w:spacing w:after="120" w:line="240" w:lineRule="auto"/>
        <w:rPr>
          <w:rFonts w:asciiTheme="minorHAnsi" w:hAnsiTheme="minorHAnsi" w:cstheme="minorHAnsi"/>
          <w:sz w:val="24"/>
          <w:szCs w:val="24"/>
        </w:rPr>
      </w:pPr>
      <w:r w:rsidRPr="007A68E9">
        <w:rPr>
          <w:rFonts w:asciiTheme="minorHAnsi" w:hAnsiTheme="minorHAnsi" w:cstheme="minorHAnsi"/>
          <w:sz w:val="24"/>
          <w:szCs w:val="24"/>
        </w:rPr>
        <w:t>In preparing these fi</w:t>
      </w:r>
      <w:r w:rsidR="005E31DC" w:rsidRPr="004A1ED8">
        <w:rPr>
          <w:rFonts w:asciiTheme="minorHAnsi" w:hAnsiTheme="minorHAnsi" w:cstheme="minorHAnsi"/>
          <w:sz w:val="24"/>
          <w:szCs w:val="24"/>
        </w:rPr>
        <w:t>nancial stat</w:t>
      </w:r>
      <w:r w:rsidR="00C41ED0">
        <w:rPr>
          <w:rFonts w:asciiTheme="minorHAnsi" w:hAnsiTheme="minorHAnsi" w:cstheme="minorHAnsi"/>
          <w:sz w:val="24"/>
          <w:szCs w:val="24"/>
        </w:rPr>
        <w:t>ements, the T</w:t>
      </w:r>
      <w:r w:rsidR="005E31DC" w:rsidRPr="004A1ED8">
        <w:rPr>
          <w:rFonts w:asciiTheme="minorHAnsi" w:hAnsiTheme="minorHAnsi" w:cstheme="minorHAnsi"/>
          <w:sz w:val="24"/>
          <w:szCs w:val="24"/>
        </w:rPr>
        <w:t>rustee</w:t>
      </w:r>
      <w:r w:rsidRPr="007A68E9">
        <w:rPr>
          <w:rFonts w:asciiTheme="minorHAnsi" w:hAnsiTheme="minorHAnsi" w:cstheme="minorHAnsi"/>
          <w:sz w:val="24"/>
          <w:szCs w:val="24"/>
        </w:rPr>
        <w:t xml:space="preserve"> </w:t>
      </w:r>
      <w:r w:rsidR="005E31DC">
        <w:rPr>
          <w:rFonts w:asciiTheme="minorHAnsi" w:hAnsiTheme="minorHAnsi" w:cstheme="minorHAnsi"/>
          <w:sz w:val="24"/>
          <w:szCs w:val="24"/>
        </w:rPr>
        <w:t>is</w:t>
      </w:r>
      <w:r w:rsidRPr="007A68E9">
        <w:rPr>
          <w:rFonts w:asciiTheme="minorHAnsi" w:hAnsiTheme="minorHAnsi" w:cstheme="minorHAnsi"/>
          <w:sz w:val="24"/>
          <w:szCs w:val="24"/>
        </w:rPr>
        <w:t xml:space="preserve"> required to:</w:t>
      </w:r>
      <w:r w:rsidRPr="007A68E9">
        <w:rPr>
          <w:rFonts w:asciiTheme="minorHAnsi" w:hAnsiTheme="minorHAnsi" w:cstheme="minorHAnsi"/>
          <w:sz w:val="24"/>
          <w:szCs w:val="24"/>
        </w:rPr>
        <w:tab/>
      </w:r>
    </w:p>
    <w:p w14:paraId="0EE5EAE0" w14:textId="5A2707E1" w:rsidR="00B87DB1" w:rsidRPr="007A68E9" w:rsidRDefault="00B87DB1" w:rsidP="00C41ED0">
      <w:pPr>
        <w:pStyle w:val="ListParagraph"/>
        <w:numPr>
          <w:ilvl w:val="0"/>
          <w:numId w:val="8"/>
        </w:numPr>
        <w:autoSpaceDE w:val="0"/>
        <w:autoSpaceDN w:val="0"/>
        <w:adjustRightInd w:val="0"/>
        <w:spacing w:after="120" w:line="240" w:lineRule="auto"/>
        <w:contextualSpacing w:val="0"/>
        <w:rPr>
          <w:rFonts w:asciiTheme="minorHAnsi" w:hAnsiTheme="minorHAnsi" w:cstheme="minorHAnsi"/>
          <w:sz w:val="24"/>
          <w:szCs w:val="24"/>
        </w:rPr>
      </w:pPr>
      <w:r w:rsidRPr="007A68E9">
        <w:rPr>
          <w:rFonts w:asciiTheme="minorHAnsi" w:hAnsiTheme="minorHAnsi" w:cstheme="minorHAnsi"/>
          <w:sz w:val="24"/>
          <w:szCs w:val="24"/>
        </w:rPr>
        <w:t>select suitable accounting policies and then apply them consistently</w:t>
      </w:r>
    </w:p>
    <w:p w14:paraId="25703B04" w14:textId="70A8961D" w:rsidR="00B87DB1" w:rsidRPr="007A68E9" w:rsidRDefault="00B87DB1" w:rsidP="00C41ED0">
      <w:pPr>
        <w:pStyle w:val="ListParagraph"/>
        <w:numPr>
          <w:ilvl w:val="0"/>
          <w:numId w:val="8"/>
        </w:numPr>
        <w:autoSpaceDE w:val="0"/>
        <w:autoSpaceDN w:val="0"/>
        <w:adjustRightInd w:val="0"/>
        <w:spacing w:after="120" w:line="240" w:lineRule="auto"/>
        <w:contextualSpacing w:val="0"/>
        <w:rPr>
          <w:rFonts w:asciiTheme="minorHAnsi" w:hAnsiTheme="minorHAnsi" w:cstheme="minorHAnsi"/>
          <w:sz w:val="24"/>
          <w:szCs w:val="24"/>
        </w:rPr>
      </w:pPr>
      <w:r w:rsidRPr="007A68E9">
        <w:rPr>
          <w:rFonts w:asciiTheme="minorHAnsi" w:hAnsiTheme="minorHAnsi" w:cstheme="minorHAnsi"/>
          <w:sz w:val="24"/>
          <w:szCs w:val="24"/>
        </w:rPr>
        <w:t>observe the methods and principles in the Charities SORP</w:t>
      </w:r>
      <w:r w:rsidR="007A68E9">
        <w:rPr>
          <w:rFonts w:asciiTheme="minorHAnsi" w:hAnsiTheme="minorHAnsi" w:cstheme="minorHAnsi"/>
          <w:sz w:val="24"/>
          <w:szCs w:val="24"/>
        </w:rPr>
        <w:t xml:space="preserve"> (Statement of Recommended Practice)</w:t>
      </w:r>
    </w:p>
    <w:p w14:paraId="5D94BF4D" w14:textId="0E93D35E" w:rsidR="00B87DB1" w:rsidRPr="007A68E9" w:rsidRDefault="00B87DB1" w:rsidP="00C41ED0">
      <w:pPr>
        <w:pStyle w:val="ListParagraph"/>
        <w:numPr>
          <w:ilvl w:val="0"/>
          <w:numId w:val="8"/>
        </w:numPr>
        <w:autoSpaceDE w:val="0"/>
        <w:autoSpaceDN w:val="0"/>
        <w:adjustRightInd w:val="0"/>
        <w:spacing w:after="120" w:line="240" w:lineRule="auto"/>
        <w:contextualSpacing w:val="0"/>
        <w:rPr>
          <w:rFonts w:asciiTheme="minorHAnsi" w:hAnsiTheme="minorHAnsi" w:cstheme="minorHAnsi"/>
          <w:sz w:val="24"/>
          <w:szCs w:val="24"/>
        </w:rPr>
      </w:pPr>
      <w:r w:rsidRPr="007A68E9">
        <w:rPr>
          <w:rFonts w:asciiTheme="minorHAnsi" w:hAnsiTheme="minorHAnsi" w:cstheme="minorHAnsi"/>
          <w:sz w:val="24"/>
          <w:szCs w:val="24"/>
        </w:rPr>
        <w:t>make judgments and estimates that are reasonable and prudent</w:t>
      </w:r>
    </w:p>
    <w:p w14:paraId="2E7BC551" w14:textId="77777777" w:rsidR="00B87DB1" w:rsidRPr="007A68E9" w:rsidRDefault="00B87DB1" w:rsidP="00C41ED0">
      <w:pPr>
        <w:pStyle w:val="ListParagraph"/>
        <w:numPr>
          <w:ilvl w:val="0"/>
          <w:numId w:val="8"/>
        </w:numPr>
        <w:autoSpaceDE w:val="0"/>
        <w:autoSpaceDN w:val="0"/>
        <w:adjustRightInd w:val="0"/>
        <w:spacing w:after="120" w:line="240" w:lineRule="auto"/>
        <w:contextualSpacing w:val="0"/>
        <w:rPr>
          <w:rFonts w:asciiTheme="minorHAnsi" w:hAnsiTheme="minorHAnsi" w:cstheme="minorHAnsi"/>
          <w:sz w:val="24"/>
          <w:szCs w:val="24"/>
        </w:rPr>
      </w:pPr>
      <w:r w:rsidRPr="007A68E9">
        <w:rPr>
          <w:rFonts w:asciiTheme="minorHAnsi" w:hAnsiTheme="minorHAnsi" w:cstheme="minorHAnsi"/>
          <w:sz w:val="24"/>
          <w:szCs w:val="24"/>
        </w:rPr>
        <w:lastRenderedPageBreak/>
        <w:t>state whether applicable accounting standards, comprising FRS 102, have been followed, subject to any material departures disclosed and explained in the financial statements; and</w:t>
      </w:r>
    </w:p>
    <w:p w14:paraId="7E7AF05F" w14:textId="2B131290" w:rsidR="00B87DB1" w:rsidRPr="00C41ED0" w:rsidRDefault="00B87DB1" w:rsidP="00C41ED0">
      <w:pPr>
        <w:pStyle w:val="ListParagraph"/>
        <w:numPr>
          <w:ilvl w:val="0"/>
          <w:numId w:val="8"/>
        </w:numPr>
        <w:autoSpaceDE w:val="0"/>
        <w:autoSpaceDN w:val="0"/>
        <w:adjustRightInd w:val="0"/>
        <w:spacing w:after="180" w:line="240" w:lineRule="auto"/>
        <w:ind w:left="714" w:hanging="357"/>
        <w:contextualSpacing w:val="0"/>
        <w:rPr>
          <w:rFonts w:asciiTheme="minorHAnsi" w:hAnsiTheme="minorHAnsi" w:cstheme="minorHAnsi"/>
          <w:sz w:val="24"/>
          <w:szCs w:val="24"/>
        </w:rPr>
      </w:pPr>
      <w:r w:rsidRPr="007A68E9">
        <w:rPr>
          <w:rFonts w:asciiTheme="minorHAnsi" w:hAnsiTheme="minorHAnsi" w:cstheme="minorHAnsi"/>
          <w:sz w:val="24"/>
          <w:szCs w:val="24"/>
        </w:rPr>
        <w:t>prepare the financial statements on the going concern basis</w:t>
      </w:r>
      <w:r w:rsidR="003D771B">
        <w:rPr>
          <w:rStyle w:val="FootnoteReference"/>
          <w:rFonts w:asciiTheme="minorHAnsi" w:hAnsiTheme="minorHAnsi"/>
          <w:spacing w:val="-3"/>
          <w:kern w:val="2"/>
          <w:sz w:val="24"/>
          <w:szCs w:val="24"/>
        </w:rPr>
        <w:footnoteReference w:id="2"/>
      </w:r>
      <w:r w:rsidRPr="007A68E9">
        <w:rPr>
          <w:rFonts w:asciiTheme="minorHAnsi" w:hAnsiTheme="minorHAnsi" w:cstheme="minorHAnsi"/>
          <w:sz w:val="24"/>
          <w:szCs w:val="24"/>
        </w:rPr>
        <w:t xml:space="preserve"> </w:t>
      </w:r>
      <w:r w:rsidRPr="00C41ED0">
        <w:rPr>
          <w:rFonts w:asciiTheme="minorHAnsi" w:hAnsiTheme="minorHAnsi" w:cstheme="minorHAnsi"/>
          <w:sz w:val="24"/>
          <w:szCs w:val="24"/>
        </w:rPr>
        <w:t>unless it is inappropriate to presume that the charity will continue in business.</w:t>
      </w:r>
    </w:p>
    <w:p w14:paraId="4D64599B" w14:textId="7319D2ED" w:rsidR="00B87DB1" w:rsidRPr="007A68E9" w:rsidRDefault="00535159" w:rsidP="00C41ED0">
      <w:pPr>
        <w:autoSpaceDE w:val="0"/>
        <w:autoSpaceDN w:val="0"/>
        <w:adjustRightInd w:val="0"/>
        <w:spacing w:after="180" w:line="240" w:lineRule="auto"/>
        <w:rPr>
          <w:rFonts w:asciiTheme="minorHAnsi" w:hAnsiTheme="minorHAnsi" w:cstheme="minorHAnsi"/>
          <w:sz w:val="24"/>
          <w:szCs w:val="24"/>
        </w:rPr>
      </w:pPr>
      <w:r w:rsidRPr="004A1ED8">
        <w:rPr>
          <w:rFonts w:asciiTheme="minorHAnsi" w:hAnsiTheme="minorHAnsi" w:cstheme="minorHAnsi"/>
          <w:sz w:val="24"/>
          <w:szCs w:val="24"/>
        </w:rPr>
        <w:t xml:space="preserve">The </w:t>
      </w:r>
      <w:r w:rsidR="007A68E9">
        <w:rPr>
          <w:rFonts w:asciiTheme="minorHAnsi" w:hAnsiTheme="minorHAnsi" w:cstheme="minorHAnsi"/>
          <w:sz w:val="24"/>
          <w:szCs w:val="24"/>
        </w:rPr>
        <w:t>T</w:t>
      </w:r>
      <w:r w:rsidRPr="004A1ED8">
        <w:rPr>
          <w:rFonts w:asciiTheme="minorHAnsi" w:hAnsiTheme="minorHAnsi" w:cstheme="minorHAnsi"/>
          <w:sz w:val="24"/>
          <w:szCs w:val="24"/>
        </w:rPr>
        <w:t>rustee</w:t>
      </w:r>
      <w:r w:rsidR="00B87DB1" w:rsidRPr="007A68E9">
        <w:rPr>
          <w:rFonts w:asciiTheme="minorHAnsi" w:hAnsiTheme="minorHAnsi" w:cstheme="minorHAnsi"/>
          <w:sz w:val="24"/>
          <w:szCs w:val="24"/>
        </w:rPr>
        <w:t xml:space="preserve"> </w:t>
      </w:r>
      <w:r>
        <w:rPr>
          <w:rFonts w:asciiTheme="minorHAnsi" w:hAnsiTheme="minorHAnsi" w:cstheme="minorHAnsi"/>
          <w:sz w:val="24"/>
          <w:szCs w:val="24"/>
        </w:rPr>
        <w:t>is</w:t>
      </w:r>
      <w:r w:rsidR="00B87DB1" w:rsidRPr="007A68E9">
        <w:rPr>
          <w:rFonts w:asciiTheme="minorHAnsi" w:hAnsiTheme="minorHAnsi" w:cstheme="minorHAnsi"/>
          <w:sz w:val="24"/>
          <w:szCs w:val="24"/>
        </w:rPr>
        <w:t xml:space="preserve"> responsible for keeping proper accounting records that disclose with reasonable accuracy at any time the financial position of the charity and enable them to ensure that the financial statements comply with the Charities Act 2011, the Charity (Accounts and Reports) Regulations 2008 and the provisions of the trust deed. They are also responsible for safeguarding the assets of the charity and hence for taking reasonable steps for the prevention and detection of fraud and other irregularities.</w:t>
      </w:r>
    </w:p>
    <w:p w14:paraId="15568971" w14:textId="4CDF6EE0" w:rsidR="00B87DB1" w:rsidRPr="007A68E9" w:rsidRDefault="00535159" w:rsidP="00C41ED0">
      <w:pPr>
        <w:autoSpaceDE w:val="0"/>
        <w:autoSpaceDN w:val="0"/>
        <w:adjustRightInd w:val="0"/>
        <w:spacing w:after="180" w:line="240" w:lineRule="auto"/>
        <w:rPr>
          <w:rFonts w:asciiTheme="minorHAnsi" w:hAnsiTheme="minorHAnsi" w:cstheme="minorHAnsi"/>
          <w:sz w:val="24"/>
          <w:szCs w:val="24"/>
        </w:rPr>
      </w:pPr>
      <w:r w:rsidRPr="004A1ED8">
        <w:rPr>
          <w:rFonts w:asciiTheme="minorHAnsi" w:hAnsiTheme="minorHAnsi" w:cstheme="minorHAnsi"/>
          <w:sz w:val="24"/>
          <w:szCs w:val="24"/>
        </w:rPr>
        <w:t xml:space="preserve">The </w:t>
      </w:r>
      <w:r w:rsidR="007A68E9">
        <w:rPr>
          <w:rFonts w:asciiTheme="minorHAnsi" w:hAnsiTheme="minorHAnsi" w:cstheme="minorHAnsi"/>
          <w:sz w:val="24"/>
          <w:szCs w:val="24"/>
        </w:rPr>
        <w:t>T</w:t>
      </w:r>
      <w:r w:rsidRPr="004A1ED8">
        <w:rPr>
          <w:rFonts w:asciiTheme="minorHAnsi" w:hAnsiTheme="minorHAnsi" w:cstheme="minorHAnsi"/>
          <w:sz w:val="24"/>
          <w:szCs w:val="24"/>
        </w:rPr>
        <w:t>rustee</w:t>
      </w:r>
      <w:r w:rsidR="00B87DB1" w:rsidRPr="007A68E9">
        <w:rPr>
          <w:rFonts w:asciiTheme="minorHAnsi" w:hAnsiTheme="minorHAnsi" w:cstheme="minorHAnsi"/>
          <w:sz w:val="24"/>
          <w:szCs w:val="24"/>
        </w:rPr>
        <w:t xml:space="preserve"> </w:t>
      </w:r>
      <w:r>
        <w:rPr>
          <w:rFonts w:asciiTheme="minorHAnsi" w:hAnsiTheme="minorHAnsi" w:cstheme="minorHAnsi"/>
          <w:sz w:val="24"/>
          <w:szCs w:val="24"/>
        </w:rPr>
        <w:t>is</w:t>
      </w:r>
      <w:r w:rsidR="00B87DB1" w:rsidRPr="007A68E9">
        <w:rPr>
          <w:rFonts w:asciiTheme="minorHAnsi" w:hAnsiTheme="minorHAnsi" w:cstheme="minorHAnsi"/>
          <w:sz w:val="24"/>
          <w:szCs w:val="24"/>
        </w:rPr>
        <w:t xml:space="preserve"> responsible for the maintenance and integrity of the charity and financial information included on the charity’s website. Legislation in the United Kingdom governing the preparation and dissemination of financial statements may differ from legislation in other jurisdictions.</w:t>
      </w:r>
    </w:p>
    <w:p w14:paraId="289CA5D8" w14:textId="5894FFAD" w:rsidR="001602C0" w:rsidRPr="00976555" w:rsidRDefault="001602C0" w:rsidP="001602C0">
      <w:pPr>
        <w:tabs>
          <w:tab w:val="left" w:pos="0"/>
          <w:tab w:val="left" w:pos="720"/>
          <w:tab w:val="left" w:pos="1440"/>
          <w:tab w:val="left" w:pos="2304"/>
          <w:tab w:val="left" w:pos="5025"/>
        </w:tabs>
        <w:suppressAutoHyphens/>
        <w:spacing w:before="100" w:beforeAutospacing="1" w:after="100" w:afterAutospacing="1" w:line="240" w:lineRule="atLeast"/>
        <w:jc w:val="both"/>
        <w:rPr>
          <w:rFonts w:asciiTheme="minorHAnsi" w:hAnsiTheme="minorHAnsi" w:cs="Arial"/>
          <w:kern w:val="2"/>
          <w:sz w:val="24"/>
          <w:szCs w:val="24"/>
        </w:rPr>
      </w:pPr>
      <w:r w:rsidRPr="00B637F7">
        <w:rPr>
          <w:rFonts w:asciiTheme="minorHAnsi" w:hAnsiTheme="minorHAnsi" w:cs="Arial"/>
          <w:kern w:val="2"/>
          <w:sz w:val="24"/>
          <w:szCs w:val="24"/>
        </w:rPr>
        <w:t xml:space="preserve">Signed on behalf of the </w:t>
      </w:r>
      <w:r w:rsidR="004C76EE">
        <w:rPr>
          <w:rFonts w:asciiTheme="minorHAnsi" w:hAnsiTheme="minorHAnsi" w:cs="Arial"/>
          <w:kern w:val="2"/>
          <w:sz w:val="24"/>
          <w:szCs w:val="24"/>
        </w:rPr>
        <w:t xml:space="preserve">Corporate </w:t>
      </w:r>
      <w:r w:rsidR="005C0592">
        <w:rPr>
          <w:rFonts w:asciiTheme="minorHAnsi" w:hAnsiTheme="minorHAnsi" w:cs="Arial"/>
          <w:kern w:val="2"/>
          <w:sz w:val="24"/>
          <w:szCs w:val="24"/>
        </w:rPr>
        <w:t>Tru</w:t>
      </w:r>
      <w:r w:rsidR="005C0592" w:rsidRPr="00B637F7">
        <w:rPr>
          <w:rFonts w:asciiTheme="minorHAnsi" w:hAnsiTheme="minorHAnsi" w:cs="Arial"/>
          <w:kern w:val="2"/>
          <w:sz w:val="24"/>
          <w:szCs w:val="24"/>
        </w:rPr>
        <w:t>s</w:t>
      </w:r>
      <w:r w:rsidR="005C0592">
        <w:rPr>
          <w:rFonts w:asciiTheme="minorHAnsi" w:hAnsiTheme="minorHAnsi" w:cs="Arial"/>
          <w:kern w:val="2"/>
          <w:sz w:val="24"/>
          <w:szCs w:val="24"/>
        </w:rPr>
        <w:t>tee:</w:t>
      </w:r>
      <w:r w:rsidR="005C0592" w:rsidRPr="00B637F7">
        <w:rPr>
          <w:rFonts w:asciiTheme="minorHAnsi" w:hAnsiTheme="minorHAnsi" w:cs="Arial"/>
          <w:kern w:val="2"/>
          <w:sz w:val="24"/>
          <w:szCs w:val="24"/>
        </w:rPr>
        <w:t xml:space="preserve"> </w:t>
      </w:r>
      <w:r w:rsidR="005C0592" w:rsidRPr="00976555">
        <w:rPr>
          <w:rFonts w:asciiTheme="minorHAnsi" w:hAnsiTheme="minorHAnsi" w:cs="Arial"/>
          <w:kern w:val="2"/>
          <w:sz w:val="24"/>
          <w:szCs w:val="24"/>
        </w:rPr>
        <w:t xml:space="preserve"> </w:t>
      </w:r>
      <w:bookmarkStart w:id="1" w:name="_GoBack"/>
      <w:bookmarkEnd w:id="1"/>
    </w:p>
    <w:p w14:paraId="1C931082" w14:textId="77777777" w:rsidR="001602C0" w:rsidRDefault="001602C0" w:rsidP="001602C0">
      <w:pPr>
        <w:tabs>
          <w:tab w:val="left" w:pos="0"/>
          <w:tab w:val="left" w:pos="720"/>
          <w:tab w:val="left" w:pos="1440"/>
          <w:tab w:val="left" w:pos="2304"/>
          <w:tab w:val="left" w:pos="5025"/>
        </w:tabs>
        <w:suppressAutoHyphens/>
        <w:spacing w:before="100" w:beforeAutospacing="1" w:after="100" w:afterAutospacing="1" w:line="240" w:lineRule="atLeast"/>
        <w:jc w:val="both"/>
        <w:rPr>
          <w:rFonts w:asciiTheme="minorHAnsi" w:hAnsiTheme="minorHAnsi" w:cs="Arial"/>
          <w:kern w:val="2"/>
          <w:sz w:val="24"/>
          <w:szCs w:val="24"/>
        </w:rPr>
      </w:pPr>
    </w:p>
    <w:p w14:paraId="76C49989" w14:textId="77777777" w:rsidR="009B4F48" w:rsidRDefault="009B4F48" w:rsidP="001602C0">
      <w:pPr>
        <w:tabs>
          <w:tab w:val="left" w:pos="0"/>
          <w:tab w:val="left" w:pos="720"/>
          <w:tab w:val="left" w:pos="1440"/>
          <w:tab w:val="left" w:pos="2304"/>
          <w:tab w:val="left" w:pos="5025"/>
        </w:tabs>
        <w:suppressAutoHyphens/>
        <w:spacing w:before="100" w:beforeAutospacing="1" w:after="100" w:afterAutospacing="1" w:line="240" w:lineRule="atLeast"/>
        <w:jc w:val="both"/>
        <w:rPr>
          <w:rFonts w:asciiTheme="minorHAnsi" w:hAnsiTheme="minorHAnsi" w:cs="Arial"/>
          <w:kern w:val="2"/>
          <w:sz w:val="24"/>
          <w:szCs w:val="24"/>
        </w:rPr>
      </w:pPr>
    </w:p>
    <w:p w14:paraId="50ED182D" w14:textId="77777777" w:rsidR="001602C0" w:rsidRPr="00976555" w:rsidRDefault="001602C0" w:rsidP="001602C0">
      <w:pPr>
        <w:tabs>
          <w:tab w:val="left" w:pos="0"/>
          <w:tab w:val="left" w:pos="720"/>
          <w:tab w:val="left" w:pos="1440"/>
          <w:tab w:val="left" w:pos="2304"/>
          <w:tab w:val="left" w:pos="5025"/>
        </w:tabs>
        <w:suppressAutoHyphens/>
        <w:spacing w:before="100" w:beforeAutospacing="1" w:after="100" w:afterAutospacing="1" w:line="240" w:lineRule="atLeast"/>
        <w:jc w:val="both"/>
        <w:rPr>
          <w:rFonts w:asciiTheme="minorHAnsi" w:hAnsiTheme="minorHAnsi" w:cs="Arial"/>
          <w:kern w:val="2"/>
          <w:sz w:val="24"/>
          <w:szCs w:val="24"/>
        </w:rPr>
      </w:pPr>
    </w:p>
    <w:p w14:paraId="32C56518" w14:textId="77777777" w:rsidR="001602C0" w:rsidRPr="009810BE" w:rsidRDefault="001602C0" w:rsidP="001602C0">
      <w:pPr>
        <w:pStyle w:val="BodySingle0"/>
        <w:rPr>
          <w:rFonts w:asciiTheme="minorHAnsi" w:hAnsiTheme="minorHAnsi"/>
          <w:b/>
          <w:spacing w:val="-3"/>
          <w:kern w:val="2"/>
          <w:sz w:val="24"/>
          <w:szCs w:val="24"/>
        </w:rPr>
      </w:pPr>
      <w:r w:rsidRPr="009810BE">
        <w:rPr>
          <w:rFonts w:asciiTheme="minorHAnsi" w:hAnsiTheme="minorHAnsi"/>
          <w:b/>
          <w:spacing w:val="-3"/>
          <w:kern w:val="2"/>
          <w:sz w:val="24"/>
          <w:szCs w:val="24"/>
        </w:rPr>
        <w:t>Sir Robert Nelson</w:t>
      </w:r>
    </w:p>
    <w:p w14:paraId="59C40F07" w14:textId="7DCF41C9" w:rsidR="001602C0" w:rsidRPr="009810BE" w:rsidRDefault="004C76EE" w:rsidP="001602C0">
      <w:pPr>
        <w:pStyle w:val="BodySingle0"/>
        <w:rPr>
          <w:rFonts w:asciiTheme="minorHAnsi" w:hAnsiTheme="minorHAnsi"/>
          <w:b/>
          <w:spacing w:val="-3"/>
          <w:kern w:val="2"/>
          <w:sz w:val="24"/>
          <w:szCs w:val="24"/>
        </w:rPr>
      </w:pPr>
      <w:r>
        <w:rPr>
          <w:rFonts w:asciiTheme="minorHAnsi" w:hAnsiTheme="minorHAnsi"/>
          <w:b/>
          <w:spacing w:val="-3"/>
          <w:kern w:val="2"/>
          <w:sz w:val="24"/>
          <w:szCs w:val="24"/>
        </w:rPr>
        <w:t>Chai</w:t>
      </w:r>
      <w:r w:rsidR="00F80DAF">
        <w:rPr>
          <w:rFonts w:asciiTheme="minorHAnsi" w:hAnsiTheme="minorHAnsi"/>
          <w:b/>
          <w:spacing w:val="-3"/>
          <w:kern w:val="2"/>
          <w:sz w:val="24"/>
          <w:szCs w:val="24"/>
        </w:rPr>
        <w:t>r</w:t>
      </w:r>
      <w:r>
        <w:rPr>
          <w:rFonts w:asciiTheme="minorHAnsi" w:hAnsiTheme="minorHAnsi"/>
          <w:b/>
          <w:spacing w:val="-3"/>
          <w:kern w:val="2"/>
          <w:sz w:val="24"/>
          <w:szCs w:val="24"/>
        </w:rPr>
        <w:t xml:space="preserve"> of the Board of </w:t>
      </w:r>
      <w:r w:rsidR="009B4F48">
        <w:rPr>
          <w:rFonts w:asciiTheme="minorHAnsi" w:hAnsiTheme="minorHAnsi"/>
          <w:b/>
          <w:spacing w:val="-3"/>
          <w:kern w:val="2"/>
          <w:sz w:val="24"/>
          <w:szCs w:val="24"/>
        </w:rPr>
        <w:t>t</w:t>
      </w:r>
      <w:r w:rsidR="005C0592">
        <w:rPr>
          <w:rFonts w:asciiTheme="minorHAnsi" w:hAnsiTheme="minorHAnsi"/>
          <w:b/>
          <w:spacing w:val="-3"/>
          <w:kern w:val="2"/>
          <w:sz w:val="24"/>
          <w:szCs w:val="24"/>
        </w:rPr>
        <w:t>he Thalidomide Trust Company</w:t>
      </w:r>
    </w:p>
    <w:p w14:paraId="51815A0E" w14:textId="77777777" w:rsidR="001602C0" w:rsidRPr="00976555" w:rsidRDefault="001602C0" w:rsidP="001602C0">
      <w:pPr>
        <w:pStyle w:val="BodySingle0"/>
        <w:rPr>
          <w:rFonts w:asciiTheme="minorHAnsi" w:hAnsiTheme="minorHAnsi"/>
          <w:spacing w:val="-3"/>
          <w:kern w:val="2"/>
          <w:sz w:val="24"/>
          <w:szCs w:val="24"/>
        </w:rPr>
      </w:pPr>
    </w:p>
    <w:p w14:paraId="395FA3FD" w14:textId="055FE123" w:rsidR="00E72D30" w:rsidRPr="003D771B" w:rsidRDefault="001602C0" w:rsidP="003D771B">
      <w:pPr>
        <w:pStyle w:val="BodySingle0"/>
        <w:rPr>
          <w:rFonts w:asciiTheme="minorHAnsi" w:hAnsiTheme="minorHAnsi"/>
          <w:spacing w:val="-3"/>
          <w:kern w:val="2"/>
          <w:sz w:val="24"/>
          <w:szCs w:val="24"/>
        </w:rPr>
      </w:pPr>
      <w:r>
        <w:rPr>
          <w:rFonts w:asciiTheme="minorHAnsi" w:hAnsiTheme="minorHAnsi"/>
          <w:spacing w:val="-3"/>
          <w:kern w:val="2"/>
          <w:sz w:val="24"/>
          <w:szCs w:val="24"/>
        </w:rPr>
        <w:t>22</w:t>
      </w:r>
      <w:r w:rsidRPr="00280D81">
        <w:rPr>
          <w:rFonts w:asciiTheme="minorHAnsi" w:hAnsiTheme="minorHAnsi"/>
          <w:spacing w:val="-3"/>
          <w:kern w:val="2"/>
          <w:sz w:val="24"/>
          <w:szCs w:val="24"/>
        </w:rPr>
        <w:t xml:space="preserve"> January 201</w:t>
      </w:r>
      <w:r>
        <w:rPr>
          <w:rFonts w:asciiTheme="minorHAnsi" w:hAnsiTheme="minorHAnsi"/>
          <w:spacing w:val="-3"/>
          <w:kern w:val="2"/>
          <w:sz w:val="24"/>
          <w:szCs w:val="24"/>
        </w:rPr>
        <w:t>9</w:t>
      </w:r>
      <w:r w:rsidR="00E72D30">
        <w:rPr>
          <w:rFonts w:asciiTheme="minorHAnsi" w:hAnsiTheme="minorHAnsi" w:cs="Arial"/>
          <w:b/>
          <w:color w:val="442359"/>
          <w:kern w:val="2"/>
          <w:sz w:val="36"/>
          <w:szCs w:val="24"/>
        </w:rPr>
        <w:br w:type="page"/>
      </w:r>
    </w:p>
    <w:p w14:paraId="60026177" w14:textId="535FBBB2" w:rsidR="00B87DB1" w:rsidRPr="00B87DB1" w:rsidRDefault="00B87DB1" w:rsidP="007A68E9">
      <w:pPr>
        <w:pStyle w:val="ReportTitle"/>
        <w:spacing w:after="120"/>
        <w:rPr>
          <w:b w:val="0"/>
          <w:i w:val="0"/>
        </w:rPr>
      </w:pPr>
      <w:bookmarkStart w:id="2" w:name="Paragraph_289"/>
      <w:bookmarkStart w:id="3" w:name="_Toc532990622"/>
      <w:r w:rsidRPr="00B87DB1">
        <w:lastRenderedPageBreak/>
        <w:t>Independent auditors’ report to the trustee of The Thalidomide Trust</w:t>
      </w:r>
    </w:p>
    <w:p w14:paraId="5661F835" w14:textId="77777777" w:rsidR="00B87DB1" w:rsidRPr="00B87DB1" w:rsidRDefault="00B87DB1">
      <w:pPr>
        <w:pStyle w:val="Heading1First"/>
      </w:pPr>
      <w:r w:rsidRPr="00B87DB1">
        <w:t>Report on the audit of the financial statements</w:t>
      </w:r>
      <w:bookmarkEnd w:id="2"/>
    </w:p>
    <w:p w14:paraId="077BEB44" w14:textId="77777777" w:rsidR="00B87DB1" w:rsidRPr="00B87DB1" w:rsidRDefault="00B87DB1" w:rsidP="007A68E9">
      <w:pPr>
        <w:pStyle w:val="Heading2"/>
        <w:pBdr>
          <w:top w:val="single" w:sz="8" w:space="3" w:color="A32020"/>
        </w:pBdr>
        <w:spacing w:after="120" w:line="240" w:lineRule="auto"/>
        <w:rPr>
          <w:rFonts w:ascii="Georgia" w:eastAsiaTheme="majorEastAsia" w:hAnsi="Georgia"/>
          <w:bCs/>
          <w:color w:val="A32020"/>
          <w:szCs w:val="26"/>
        </w:rPr>
      </w:pPr>
      <w:bookmarkStart w:id="4" w:name="Paragraph_205"/>
      <w:r w:rsidRPr="00B87DB1">
        <w:rPr>
          <w:rFonts w:ascii="Georgia" w:eastAsiaTheme="majorEastAsia" w:hAnsi="Georgia"/>
          <w:bCs/>
          <w:color w:val="A32020"/>
          <w:szCs w:val="26"/>
        </w:rPr>
        <w:t>Opinion</w:t>
      </w:r>
      <w:bookmarkEnd w:id="4"/>
    </w:p>
    <w:p w14:paraId="37FD334B" w14:textId="77777777" w:rsidR="00B87DB1" w:rsidRPr="00B87DB1" w:rsidRDefault="00B87DB1" w:rsidP="007A68E9">
      <w:pPr>
        <w:pStyle w:val="BodyText"/>
        <w:spacing w:after="120" w:line="240" w:lineRule="auto"/>
        <w:rPr>
          <w:rFonts w:ascii="Georgia" w:hAnsi="Georgia"/>
          <w:sz w:val="18"/>
          <w:szCs w:val="18"/>
        </w:rPr>
      </w:pPr>
      <w:bookmarkStart w:id="5" w:name="Paragraph_23"/>
      <w:r w:rsidRPr="00B87DB1">
        <w:rPr>
          <w:rFonts w:ascii="Georgia" w:hAnsi="Georgia"/>
          <w:sz w:val="18"/>
          <w:szCs w:val="18"/>
        </w:rPr>
        <w:t>In our opinion, The Thalidomide Trust’s financial statements (the financial statements”):</w:t>
      </w:r>
      <w:bookmarkEnd w:id="5"/>
    </w:p>
    <w:p w14:paraId="07A5A8CE" w14:textId="77777777" w:rsidR="00B87DB1" w:rsidRPr="00B87DB1" w:rsidRDefault="00B87DB1">
      <w:pPr>
        <w:pStyle w:val="ListBullet"/>
        <w:tabs>
          <w:tab w:val="clear" w:pos="596"/>
          <w:tab w:val="num" w:pos="0"/>
          <w:tab w:val="left" w:pos="720"/>
        </w:tabs>
        <w:spacing w:after="120" w:line="240" w:lineRule="auto"/>
        <w:ind w:left="714" w:hanging="357"/>
        <w:rPr>
          <w:rFonts w:ascii="Georgia" w:hAnsi="Georgia"/>
          <w:sz w:val="18"/>
          <w:szCs w:val="18"/>
        </w:rPr>
      </w:pPr>
      <w:bookmarkStart w:id="6" w:name="Paragraph_24"/>
      <w:r w:rsidRPr="00B87DB1">
        <w:rPr>
          <w:rFonts w:ascii="Georgia" w:hAnsi="Georgia"/>
          <w:sz w:val="18"/>
          <w:szCs w:val="18"/>
        </w:rPr>
        <w:t>give a true and fair view of the state of the charity’s affairs as at 30 September 2018</w:t>
      </w:r>
      <w:r w:rsidRPr="00B87DB1" w:rsidDel="00FB5976">
        <w:rPr>
          <w:rFonts w:ascii="Georgia" w:hAnsi="Georgia"/>
          <w:sz w:val="18"/>
          <w:szCs w:val="18"/>
        </w:rPr>
        <w:t xml:space="preserve"> </w:t>
      </w:r>
      <w:r w:rsidRPr="00B87DB1">
        <w:rPr>
          <w:rFonts w:ascii="Georgia" w:hAnsi="Georgia"/>
          <w:sz w:val="18"/>
          <w:szCs w:val="18"/>
        </w:rPr>
        <w:t>and of</w:t>
      </w:r>
      <w:r w:rsidRPr="00B87DB1">
        <w:rPr>
          <w:rFonts w:ascii="Georgia" w:hAnsi="Georgia"/>
          <w:b/>
          <w:color w:val="FF0000"/>
          <w:sz w:val="18"/>
          <w:szCs w:val="18"/>
        </w:rPr>
        <w:t xml:space="preserve"> </w:t>
      </w:r>
      <w:r w:rsidRPr="00B87DB1">
        <w:rPr>
          <w:rFonts w:ascii="Georgia" w:hAnsi="Georgia"/>
          <w:sz w:val="18"/>
          <w:szCs w:val="18"/>
        </w:rPr>
        <w:t>its incoming resources and application of resources</w:t>
      </w:r>
      <w:r w:rsidRPr="00B87DB1">
        <w:rPr>
          <w:rFonts w:ascii="Georgia" w:hAnsi="Georgia"/>
          <w:b/>
          <w:color w:val="FF0000"/>
          <w:sz w:val="18"/>
          <w:szCs w:val="18"/>
        </w:rPr>
        <w:t xml:space="preserve"> </w:t>
      </w:r>
      <w:r w:rsidRPr="00B87DB1">
        <w:rPr>
          <w:rFonts w:ascii="Georgia" w:hAnsi="Georgia"/>
          <w:sz w:val="18"/>
          <w:szCs w:val="18"/>
        </w:rPr>
        <w:t>and cash flows for the year then ended;</w:t>
      </w:r>
    </w:p>
    <w:p w14:paraId="7949912B" w14:textId="77777777" w:rsidR="00B87DB1" w:rsidRPr="00B87DB1" w:rsidRDefault="00B87DB1">
      <w:pPr>
        <w:pStyle w:val="ListBullet"/>
        <w:tabs>
          <w:tab w:val="clear" w:pos="596"/>
          <w:tab w:val="num" w:pos="0"/>
          <w:tab w:val="left" w:pos="720"/>
        </w:tabs>
        <w:spacing w:after="120" w:line="240" w:lineRule="auto"/>
        <w:ind w:left="714" w:hanging="357"/>
        <w:rPr>
          <w:rFonts w:ascii="Georgia" w:hAnsi="Georgia"/>
          <w:sz w:val="18"/>
          <w:szCs w:val="18"/>
        </w:rPr>
      </w:pPr>
      <w:r w:rsidRPr="00B87DB1">
        <w:rPr>
          <w:rFonts w:ascii="Georgia" w:hAnsi="Georgia"/>
          <w:sz w:val="18"/>
          <w:szCs w:val="18"/>
        </w:rPr>
        <w:t>have been properly prepared in accordance with United Kingdom Generally Accepted Accounting Practice (United Kingdom Accounting Standards, comprising FRS 102 “The Financial Reporting Standard applicable in the UK and Republic of Ireland”, and applicable law); and</w:t>
      </w:r>
    </w:p>
    <w:p w14:paraId="16531084" w14:textId="77777777" w:rsidR="00B87DB1" w:rsidRPr="00B87DB1" w:rsidRDefault="00B87DB1">
      <w:pPr>
        <w:pStyle w:val="ListBullet"/>
        <w:tabs>
          <w:tab w:val="clear" w:pos="596"/>
          <w:tab w:val="num" w:pos="0"/>
          <w:tab w:val="left" w:pos="720"/>
        </w:tabs>
        <w:spacing w:after="120" w:line="240" w:lineRule="auto"/>
        <w:ind w:left="714" w:hanging="357"/>
        <w:rPr>
          <w:rFonts w:ascii="Georgia" w:hAnsi="Georgia"/>
          <w:sz w:val="18"/>
          <w:szCs w:val="18"/>
        </w:rPr>
      </w:pPr>
      <w:r w:rsidRPr="00B87DB1">
        <w:rPr>
          <w:rFonts w:ascii="Georgia" w:hAnsi="Georgia"/>
          <w:sz w:val="18"/>
          <w:szCs w:val="18"/>
        </w:rPr>
        <w:t xml:space="preserve">have been prepared in accordance with the requirements of </w:t>
      </w:r>
      <w:bookmarkStart w:id="7" w:name="Paragraph_291"/>
      <w:bookmarkEnd w:id="6"/>
      <w:r w:rsidRPr="00B87DB1">
        <w:rPr>
          <w:rFonts w:ascii="Georgia" w:hAnsi="Georgia" w:cs="Arial"/>
          <w:bCs/>
          <w:sz w:val="18"/>
          <w:szCs w:val="18"/>
        </w:rPr>
        <w:t xml:space="preserve">the Charities Act 2011 and Regulation 8 of </w:t>
      </w:r>
      <w:r w:rsidRPr="00B87DB1">
        <w:rPr>
          <w:rFonts w:ascii="Georgia" w:hAnsi="Georgia" w:cs="Arial"/>
          <w:sz w:val="18"/>
          <w:szCs w:val="18"/>
        </w:rPr>
        <w:t>The Charities (Accounts and Reports) Regulations 2008).</w:t>
      </w:r>
    </w:p>
    <w:p w14:paraId="0BAD4F07" w14:textId="77777777" w:rsidR="00B87DB1" w:rsidRPr="00B87DB1" w:rsidRDefault="00B87DB1" w:rsidP="007A68E9">
      <w:pPr>
        <w:pStyle w:val="ListBullet"/>
        <w:numPr>
          <w:ilvl w:val="0"/>
          <w:numId w:val="0"/>
        </w:numPr>
        <w:spacing w:after="120" w:line="240" w:lineRule="auto"/>
        <w:jc w:val="both"/>
        <w:rPr>
          <w:rFonts w:ascii="Georgia" w:hAnsi="Georgia"/>
          <w:b/>
          <w:i/>
          <w:color w:val="FF0000"/>
          <w:sz w:val="18"/>
          <w:szCs w:val="18"/>
        </w:rPr>
      </w:pPr>
      <w:bookmarkStart w:id="8" w:name="Paragraph_31"/>
      <w:r w:rsidRPr="00B87DB1">
        <w:rPr>
          <w:rFonts w:ascii="Georgia" w:hAnsi="Georgia"/>
          <w:sz w:val="18"/>
          <w:szCs w:val="18"/>
        </w:rPr>
        <w:t>We have audited the financial statements, included within the Annual Report and Financial Statements (the “Annual Report”), which comprise: the balance sheet as at 30 September 2018; the statement of financial activities for the year then ended, cash flow statement for the year then ended; and the notes to the financial statements which include a summary of the significant accounting policies.</w:t>
      </w:r>
      <w:bookmarkEnd w:id="8"/>
    </w:p>
    <w:p w14:paraId="12BD866E" w14:textId="77777777" w:rsidR="00B87DB1" w:rsidRPr="00B87DB1" w:rsidRDefault="00B87DB1" w:rsidP="007A68E9">
      <w:pPr>
        <w:pStyle w:val="Heading2"/>
        <w:pBdr>
          <w:top w:val="single" w:sz="8" w:space="3" w:color="A32020"/>
        </w:pBdr>
        <w:spacing w:after="120" w:line="240" w:lineRule="auto"/>
        <w:rPr>
          <w:rFonts w:ascii="Georgia" w:eastAsiaTheme="majorEastAsia" w:hAnsi="Georgia"/>
          <w:bCs/>
          <w:color w:val="A32020"/>
          <w:szCs w:val="26"/>
        </w:rPr>
      </w:pPr>
      <w:bookmarkStart w:id="9" w:name="Paragraph_46"/>
      <w:bookmarkEnd w:id="7"/>
      <w:r w:rsidRPr="00B87DB1">
        <w:rPr>
          <w:rFonts w:ascii="Georgia" w:eastAsiaTheme="majorEastAsia" w:hAnsi="Georgia"/>
          <w:bCs/>
          <w:color w:val="A32020"/>
          <w:szCs w:val="26"/>
        </w:rPr>
        <w:t>Basis for opinion</w:t>
      </w:r>
      <w:bookmarkEnd w:id="9"/>
    </w:p>
    <w:p w14:paraId="0BDAD6FF" w14:textId="77777777" w:rsidR="00B87DB1" w:rsidRPr="00B87DB1" w:rsidRDefault="00B87DB1" w:rsidP="007A68E9">
      <w:pPr>
        <w:pStyle w:val="BodyText"/>
        <w:spacing w:after="120" w:line="240" w:lineRule="auto"/>
        <w:rPr>
          <w:rFonts w:ascii="Georgia" w:hAnsi="Georgia"/>
          <w:sz w:val="18"/>
          <w:szCs w:val="18"/>
        </w:rPr>
      </w:pPr>
      <w:bookmarkStart w:id="10" w:name="Paragraph_50"/>
      <w:r w:rsidRPr="00B87DB1">
        <w:rPr>
          <w:rFonts w:ascii="Georgia" w:hAnsi="Georgia"/>
          <w:sz w:val="18"/>
          <w:szCs w:val="18"/>
        </w:rPr>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bookmarkEnd w:id="10"/>
    </w:p>
    <w:p w14:paraId="6576AE7B" w14:textId="77777777" w:rsidR="00B87DB1" w:rsidRPr="00B87DB1" w:rsidRDefault="00B87DB1" w:rsidP="007A68E9">
      <w:pPr>
        <w:pStyle w:val="Heading3"/>
        <w:spacing w:after="120" w:line="240" w:lineRule="auto"/>
        <w:rPr>
          <w:rFonts w:ascii="Georgia" w:hAnsi="Georgia"/>
          <w:b w:val="0"/>
          <w:i/>
          <w:sz w:val="20"/>
        </w:rPr>
      </w:pPr>
      <w:r w:rsidRPr="00B87DB1">
        <w:rPr>
          <w:rFonts w:ascii="Georgia" w:eastAsiaTheme="majorEastAsia" w:hAnsi="Georgia"/>
          <w:b w:val="0"/>
          <w:bCs/>
          <w:i/>
          <w:color w:val="A32020"/>
          <w:sz w:val="20"/>
        </w:rPr>
        <w:t>Independence</w:t>
      </w:r>
    </w:p>
    <w:p w14:paraId="15108738" w14:textId="77777777" w:rsidR="00B87DB1" w:rsidRPr="00B87DB1" w:rsidRDefault="00B87DB1" w:rsidP="007A68E9">
      <w:pPr>
        <w:pStyle w:val="BodyText"/>
        <w:spacing w:after="120" w:line="240" w:lineRule="auto"/>
        <w:rPr>
          <w:rFonts w:ascii="Georgia" w:hAnsi="Georgia"/>
          <w:sz w:val="18"/>
          <w:szCs w:val="18"/>
        </w:rPr>
      </w:pPr>
      <w:bookmarkStart w:id="11" w:name="Paragraph_53"/>
      <w:r w:rsidRPr="00B87DB1">
        <w:rPr>
          <w:rFonts w:ascii="Georgia" w:hAnsi="Georgia"/>
          <w:sz w:val="18"/>
          <w:szCs w:val="18"/>
        </w:rPr>
        <w:t>We remained independent of the charity in accordance with the ethical requirements that are relevant to our audit of the financial statements in the UK, which includes the FRC’s Ethical Standard and we have fulfilled our other ethical responsibilities in accordance with these requirements.</w:t>
      </w:r>
      <w:bookmarkEnd w:id="11"/>
    </w:p>
    <w:p w14:paraId="36201D5A" w14:textId="77777777" w:rsidR="00B87DB1" w:rsidRPr="00B87DB1" w:rsidRDefault="00B87DB1" w:rsidP="007A68E9">
      <w:pPr>
        <w:pStyle w:val="Heading2"/>
        <w:pBdr>
          <w:top w:val="single" w:sz="8" w:space="3" w:color="A32020"/>
        </w:pBdr>
        <w:spacing w:after="120" w:line="240" w:lineRule="auto"/>
        <w:rPr>
          <w:rFonts w:ascii="Georgia" w:eastAsiaTheme="majorEastAsia" w:hAnsi="Georgia"/>
          <w:bCs/>
          <w:color w:val="A32020"/>
          <w:szCs w:val="26"/>
        </w:rPr>
      </w:pPr>
      <w:bookmarkStart w:id="12" w:name="Paragraph_181"/>
      <w:r w:rsidRPr="00B87DB1">
        <w:rPr>
          <w:rFonts w:ascii="Georgia" w:eastAsiaTheme="majorEastAsia" w:hAnsi="Georgia"/>
          <w:bCs/>
          <w:color w:val="A32020"/>
          <w:szCs w:val="26"/>
        </w:rPr>
        <w:t>Conclusions relating to going concern</w:t>
      </w:r>
      <w:bookmarkEnd w:id="12"/>
    </w:p>
    <w:p w14:paraId="0912CD68" w14:textId="77777777" w:rsidR="00B87DB1" w:rsidRPr="00B87DB1" w:rsidRDefault="00B87DB1" w:rsidP="007A68E9">
      <w:pPr>
        <w:pStyle w:val="BodyText"/>
        <w:spacing w:after="120" w:line="240" w:lineRule="auto"/>
        <w:rPr>
          <w:rFonts w:ascii="Georgia" w:hAnsi="Georgia"/>
          <w:sz w:val="18"/>
          <w:szCs w:val="18"/>
        </w:rPr>
      </w:pPr>
      <w:bookmarkStart w:id="13" w:name="Paragraph_183"/>
      <w:r w:rsidRPr="00B87DB1">
        <w:rPr>
          <w:rFonts w:ascii="Georgia" w:hAnsi="Georgia"/>
          <w:sz w:val="18"/>
          <w:szCs w:val="18"/>
        </w:rPr>
        <w:t xml:space="preserve">We have nothing to report in respect of the following matters in relation to which ISAs (UK) require us to report to you when: </w:t>
      </w:r>
      <w:bookmarkEnd w:id="13"/>
    </w:p>
    <w:p w14:paraId="315EBBBD" w14:textId="1AB06C11" w:rsidR="00B87DB1" w:rsidRPr="00B87DB1" w:rsidRDefault="00B87DB1">
      <w:pPr>
        <w:pStyle w:val="ListBullet"/>
        <w:tabs>
          <w:tab w:val="clear" w:pos="596"/>
          <w:tab w:val="num" w:pos="0"/>
          <w:tab w:val="left" w:pos="720"/>
        </w:tabs>
        <w:spacing w:after="120" w:line="240" w:lineRule="auto"/>
        <w:ind w:left="1077" w:hanging="360"/>
        <w:rPr>
          <w:rFonts w:ascii="Georgia" w:hAnsi="Georgia"/>
          <w:sz w:val="18"/>
          <w:szCs w:val="18"/>
        </w:rPr>
      </w:pPr>
      <w:bookmarkStart w:id="14" w:name="Paragraph_184"/>
      <w:r w:rsidRPr="00B87DB1">
        <w:rPr>
          <w:rFonts w:ascii="Georgia" w:hAnsi="Georgia"/>
          <w:sz w:val="18"/>
          <w:szCs w:val="18"/>
        </w:rPr>
        <w:t>the trustee</w:t>
      </w:r>
      <w:r w:rsidR="00535159">
        <w:rPr>
          <w:rFonts w:ascii="Georgia" w:hAnsi="Georgia"/>
          <w:sz w:val="18"/>
          <w:szCs w:val="18"/>
        </w:rPr>
        <w:t>’</w:t>
      </w:r>
      <w:r w:rsidRPr="00B87DB1">
        <w:rPr>
          <w:rFonts w:ascii="Georgia" w:hAnsi="Georgia"/>
          <w:sz w:val="18"/>
          <w:szCs w:val="18"/>
        </w:rPr>
        <w:t>s use of the going concern basis of accounting in the preparation of the financial statements is not appropriate; or</w:t>
      </w:r>
      <w:bookmarkEnd w:id="14"/>
    </w:p>
    <w:p w14:paraId="1A551AE7" w14:textId="7AB7EDEF" w:rsidR="00B87DB1" w:rsidRPr="00B87DB1" w:rsidRDefault="00B87DB1">
      <w:pPr>
        <w:pStyle w:val="ListBullet"/>
        <w:tabs>
          <w:tab w:val="clear" w:pos="596"/>
          <w:tab w:val="num" w:pos="0"/>
          <w:tab w:val="left" w:pos="720"/>
        </w:tabs>
        <w:spacing w:after="120" w:line="240" w:lineRule="auto"/>
        <w:ind w:left="1077" w:hanging="360"/>
        <w:rPr>
          <w:rFonts w:ascii="Georgia" w:hAnsi="Georgia"/>
          <w:sz w:val="18"/>
          <w:szCs w:val="18"/>
        </w:rPr>
      </w:pPr>
      <w:bookmarkStart w:id="15" w:name="Paragraph_186"/>
      <w:r w:rsidRPr="00B87DB1">
        <w:rPr>
          <w:rFonts w:ascii="Georgia" w:hAnsi="Georgia"/>
          <w:sz w:val="18"/>
          <w:szCs w:val="18"/>
        </w:rPr>
        <w:t>the trustee ha</w:t>
      </w:r>
      <w:r w:rsidR="00535159">
        <w:rPr>
          <w:rFonts w:ascii="Georgia" w:hAnsi="Georgia"/>
          <w:sz w:val="18"/>
          <w:szCs w:val="18"/>
        </w:rPr>
        <w:t>s</w:t>
      </w:r>
      <w:r w:rsidRPr="00B87DB1">
        <w:rPr>
          <w:rFonts w:ascii="Georgia" w:hAnsi="Georgia"/>
          <w:sz w:val="18"/>
          <w:szCs w:val="18"/>
        </w:rPr>
        <w:t xml:space="preserve"> not disclosed in the financial statements any identified material uncertainties that may cast significant doubt about the charity’s ability to continue to adopt the going concern basis of accounting for a period of at least twelve months from the date when the financial statements are authorised for issue.</w:t>
      </w:r>
      <w:bookmarkEnd w:id="15"/>
    </w:p>
    <w:p w14:paraId="4DF5D035" w14:textId="77777777" w:rsidR="00B87DB1" w:rsidRPr="00B87DB1" w:rsidRDefault="00B87DB1" w:rsidP="00B87DB1">
      <w:pPr>
        <w:pStyle w:val="BodyText"/>
        <w:spacing w:after="120" w:line="240" w:lineRule="auto"/>
        <w:rPr>
          <w:rFonts w:ascii="Georgia" w:hAnsi="Georgia"/>
          <w:sz w:val="18"/>
          <w:szCs w:val="18"/>
        </w:rPr>
      </w:pPr>
      <w:bookmarkStart w:id="16" w:name="Paragraph_187"/>
      <w:r w:rsidRPr="00B87DB1">
        <w:rPr>
          <w:rFonts w:ascii="Georgia" w:hAnsi="Georgia"/>
          <w:sz w:val="18"/>
          <w:szCs w:val="18"/>
        </w:rPr>
        <w:t>However, because not all future events or conditions can be predicted, this statement is not a guarantee as to the charity’s ability to continue as a going concern.</w:t>
      </w:r>
      <w:bookmarkEnd w:id="16"/>
    </w:p>
    <w:p w14:paraId="6A41553F" w14:textId="77777777" w:rsidR="00B87DB1" w:rsidRPr="00B87DB1" w:rsidRDefault="00B87DB1" w:rsidP="00B87DB1">
      <w:pPr>
        <w:pStyle w:val="Heading2"/>
        <w:pBdr>
          <w:top w:val="single" w:sz="8" w:space="3" w:color="A32020"/>
        </w:pBdr>
        <w:spacing w:after="120" w:line="240" w:lineRule="auto"/>
        <w:rPr>
          <w:rFonts w:ascii="Georgia" w:eastAsiaTheme="majorEastAsia" w:hAnsi="Georgia"/>
          <w:bCs/>
          <w:color w:val="A32020"/>
          <w:szCs w:val="26"/>
        </w:rPr>
      </w:pPr>
      <w:bookmarkStart w:id="17" w:name="Paragraph_9"/>
      <w:r w:rsidRPr="00B87DB1">
        <w:rPr>
          <w:rFonts w:ascii="Georgia" w:eastAsiaTheme="majorEastAsia" w:hAnsi="Georgia"/>
          <w:bCs/>
          <w:color w:val="A32020"/>
          <w:szCs w:val="26"/>
        </w:rPr>
        <w:t xml:space="preserve">Reporting on other information </w:t>
      </w:r>
      <w:bookmarkEnd w:id="17"/>
    </w:p>
    <w:p w14:paraId="6770437A" w14:textId="2F240378" w:rsidR="00B87DB1" w:rsidRPr="00B87DB1" w:rsidRDefault="00B87DB1" w:rsidP="00B87DB1">
      <w:pPr>
        <w:pStyle w:val="BodyText"/>
        <w:spacing w:after="120" w:line="240" w:lineRule="auto"/>
        <w:rPr>
          <w:rFonts w:ascii="Georgia" w:hAnsi="Georgia"/>
          <w:sz w:val="18"/>
          <w:szCs w:val="18"/>
        </w:rPr>
      </w:pPr>
      <w:bookmarkStart w:id="18" w:name="Paragraph_192"/>
      <w:r w:rsidRPr="00B87DB1">
        <w:rPr>
          <w:rFonts w:ascii="Georgia" w:hAnsi="Georgia"/>
          <w:sz w:val="18"/>
          <w:szCs w:val="18"/>
        </w:rPr>
        <w:t xml:space="preserve">The other information comprises all of the information in the Annual Report other than the financial statements and our auditors’ report thereon. The trustee </w:t>
      </w:r>
      <w:r w:rsidR="00535159">
        <w:rPr>
          <w:rFonts w:ascii="Georgia" w:hAnsi="Georgia"/>
          <w:sz w:val="18"/>
          <w:szCs w:val="18"/>
        </w:rPr>
        <w:t>is</w:t>
      </w:r>
      <w:r w:rsidRPr="00B87DB1">
        <w:rPr>
          <w:rFonts w:ascii="Georgia" w:hAnsi="Georgia"/>
          <w:sz w:val="18"/>
          <w:szCs w:val="18"/>
        </w:rPr>
        <w:t xml:space="preserve"> responsible for the other information. Our opinion on the financial statements does not cover the other information and, accordingly, we do not express an audit opinion or any form of assurance thereon. </w:t>
      </w:r>
      <w:bookmarkEnd w:id="18"/>
    </w:p>
    <w:p w14:paraId="58D9873F" w14:textId="77777777" w:rsidR="00B87DB1" w:rsidRPr="00B87DB1" w:rsidRDefault="00B87DB1" w:rsidP="00B87DB1">
      <w:pPr>
        <w:pStyle w:val="BodyText"/>
        <w:spacing w:after="120" w:line="240" w:lineRule="auto"/>
        <w:rPr>
          <w:rFonts w:ascii="Georgia" w:hAnsi="Georgia"/>
          <w:sz w:val="18"/>
          <w:szCs w:val="18"/>
        </w:rPr>
      </w:pPr>
      <w:bookmarkStart w:id="19" w:name="Paragraph_194"/>
      <w:r w:rsidRPr="00B87DB1">
        <w:rPr>
          <w:rFonts w:ascii="Georgia" w:hAnsi="Georgia"/>
          <w:sz w:val="18"/>
          <w:szCs w:val="18"/>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bookmarkEnd w:id="19"/>
    </w:p>
    <w:p w14:paraId="2C265341" w14:textId="77777777" w:rsidR="00B87DB1" w:rsidRPr="00B87DB1" w:rsidRDefault="00B87DB1" w:rsidP="00B87DB1">
      <w:pPr>
        <w:pStyle w:val="BodyText"/>
        <w:spacing w:after="120" w:line="240" w:lineRule="auto"/>
        <w:rPr>
          <w:rFonts w:ascii="Georgia" w:hAnsi="Georgia"/>
          <w:sz w:val="18"/>
          <w:szCs w:val="18"/>
        </w:rPr>
      </w:pPr>
      <w:bookmarkStart w:id="20" w:name="Paragraph_26"/>
      <w:r w:rsidRPr="00B87DB1">
        <w:rPr>
          <w:rFonts w:ascii="Georgia" w:hAnsi="Georgia"/>
          <w:sz w:val="18"/>
          <w:szCs w:val="18"/>
        </w:rPr>
        <w:t>Based on the responsibilities described above and our work undertaken in the course of the audit, ISAs (UK) require us also to report certain opinions and matters as described below.</w:t>
      </w:r>
      <w:bookmarkEnd w:id="20"/>
    </w:p>
    <w:p w14:paraId="5554B682" w14:textId="13A5D50F" w:rsidR="00B87DB1" w:rsidRPr="00B87DB1" w:rsidRDefault="00B87DB1" w:rsidP="00B87DB1">
      <w:pPr>
        <w:pStyle w:val="Heading3"/>
        <w:spacing w:after="120" w:line="240" w:lineRule="auto"/>
        <w:rPr>
          <w:rFonts w:ascii="Georgia" w:eastAsiaTheme="majorEastAsia" w:hAnsi="Georgia"/>
          <w:b w:val="0"/>
          <w:bCs/>
          <w:i/>
          <w:color w:val="A32020"/>
          <w:sz w:val="20"/>
        </w:rPr>
      </w:pPr>
      <w:bookmarkStart w:id="21" w:name="Paragraph_204"/>
      <w:r w:rsidRPr="00B87DB1">
        <w:rPr>
          <w:rFonts w:ascii="Georgia" w:eastAsiaTheme="majorEastAsia" w:hAnsi="Georgia"/>
          <w:b w:val="0"/>
          <w:bCs/>
          <w:i/>
          <w:color w:val="A32020"/>
          <w:sz w:val="20"/>
        </w:rPr>
        <w:t>Trustee</w:t>
      </w:r>
      <w:r w:rsidR="00535159">
        <w:rPr>
          <w:rFonts w:ascii="Georgia" w:eastAsiaTheme="majorEastAsia" w:hAnsi="Georgia"/>
          <w:b w:val="0"/>
          <w:bCs/>
          <w:i/>
          <w:color w:val="A32020"/>
          <w:sz w:val="20"/>
        </w:rPr>
        <w:t>’</w:t>
      </w:r>
      <w:r w:rsidRPr="00B87DB1">
        <w:rPr>
          <w:rFonts w:ascii="Georgia" w:eastAsiaTheme="majorEastAsia" w:hAnsi="Georgia"/>
          <w:b w:val="0"/>
          <w:bCs/>
          <w:i/>
          <w:color w:val="A32020"/>
          <w:sz w:val="20"/>
        </w:rPr>
        <w:t>s Report</w:t>
      </w:r>
      <w:bookmarkEnd w:id="21"/>
    </w:p>
    <w:p w14:paraId="2DEA8786" w14:textId="5BEB5858" w:rsidR="00B87DB1" w:rsidRPr="00B87DB1" w:rsidRDefault="00B87DB1" w:rsidP="00B87DB1">
      <w:pPr>
        <w:pStyle w:val="BodyText"/>
        <w:spacing w:after="120" w:line="240" w:lineRule="auto"/>
        <w:rPr>
          <w:rFonts w:ascii="Georgia" w:eastAsiaTheme="minorEastAsia" w:hAnsi="Georgia"/>
          <w:sz w:val="18"/>
          <w:szCs w:val="18"/>
        </w:rPr>
      </w:pPr>
      <w:bookmarkStart w:id="22" w:name="Paragraph_210"/>
      <w:r w:rsidRPr="00B87DB1">
        <w:rPr>
          <w:rFonts w:ascii="Georgia" w:eastAsiaTheme="minorEastAsia" w:hAnsi="Georgia"/>
          <w:sz w:val="18"/>
          <w:szCs w:val="18"/>
        </w:rPr>
        <w:t>Under the Charities Act 2011 we are required to report to you if, in our opinion the information given in the Trustee</w:t>
      </w:r>
      <w:r w:rsidR="00535159">
        <w:rPr>
          <w:rFonts w:ascii="Georgia" w:eastAsiaTheme="minorEastAsia" w:hAnsi="Georgia"/>
          <w:sz w:val="18"/>
          <w:szCs w:val="18"/>
        </w:rPr>
        <w:t>’</w:t>
      </w:r>
      <w:r w:rsidRPr="00B87DB1">
        <w:rPr>
          <w:rFonts w:ascii="Georgia" w:eastAsiaTheme="minorEastAsia" w:hAnsi="Georgia"/>
          <w:sz w:val="18"/>
          <w:szCs w:val="18"/>
        </w:rPr>
        <w:t>s Annual Report is inconsistent in any material respect with the financial statements.  We have no exceptions to report arising from this responsibility</w:t>
      </w:r>
      <w:bookmarkEnd w:id="22"/>
      <w:r w:rsidRPr="00B87DB1">
        <w:rPr>
          <w:rFonts w:ascii="Georgia" w:eastAsiaTheme="minorEastAsia" w:hAnsi="Georgia"/>
          <w:sz w:val="18"/>
          <w:szCs w:val="18"/>
        </w:rPr>
        <w:t>.</w:t>
      </w:r>
    </w:p>
    <w:p w14:paraId="195DE18B" w14:textId="77777777" w:rsidR="00B87DB1" w:rsidRPr="00B87DB1" w:rsidRDefault="00B87DB1" w:rsidP="00B87DB1">
      <w:pPr>
        <w:pStyle w:val="Heading2"/>
        <w:pBdr>
          <w:top w:val="single" w:sz="8" w:space="3" w:color="A32020"/>
        </w:pBdr>
        <w:spacing w:after="120" w:line="240" w:lineRule="auto"/>
        <w:rPr>
          <w:rFonts w:ascii="Georgia" w:eastAsiaTheme="majorEastAsia" w:hAnsi="Georgia"/>
          <w:bCs/>
          <w:color w:val="A32020"/>
        </w:rPr>
      </w:pPr>
      <w:r w:rsidRPr="00B87DB1">
        <w:rPr>
          <w:rFonts w:ascii="Georgia" w:eastAsiaTheme="majorEastAsia" w:hAnsi="Georgia"/>
          <w:bCs/>
          <w:color w:val="A32020"/>
        </w:rPr>
        <w:lastRenderedPageBreak/>
        <w:t>Responsibilities for the financial statements and the audit</w:t>
      </w:r>
    </w:p>
    <w:p w14:paraId="41A25E5F" w14:textId="6EA91523" w:rsidR="00B87DB1" w:rsidRPr="00B87DB1" w:rsidRDefault="00B87DB1" w:rsidP="00B87DB1">
      <w:pPr>
        <w:pStyle w:val="Heading3"/>
        <w:spacing w:after="120" w:line="240" w:lineRule="auto"/>
        <w:rPr>
          <w:rFonts w:ascii="Georgia" w:eastAsiaTheme="majorEastAsia" w:hAnsi="Georgia"/>
          <w:b w:val="0"/>
          <w:bCs/>
          <w:i/>
          <w:color w:val="A32020"/>
          <w:sz w:val="20"/>
        </w:rPr>
      </w:pPr>
      <w:bookmarkStart w:id="23" w:name="Paragraph_267"/>
      <w:r w:rsidRPr="00B87DB1">
        <w:rPr>
          <w:rFonts w:ascii="Georgia" w:eastAsiaTheme="majorEastAsia" w:hAnsi="Georgia"/>
          <w:b w:val="0"/>
          <w:bCs/>
          <w:i/>
          <w:color w:val="A32020"/>
          <w:sz w:val="20"/>
        </w:rPr>
        <w:t>Responsibilities of the Trustee for the financial statements</w:t>
      </w:r>
      <w:bookmarkEnd w:id="23"/>
    </w:p>
    <w:p w14:paraId="0D0B4A4A" w14:textId="2F821EE5" w:rsidR="00B87DB1" w:rsidRPr="00B87DB1" w:rsidRDefault="00B87DB1" w:rsidP="00B87DB1">
      <w:pPr>
        <w:pStyle w:val="BodyText"/>
        <w:spacing w:after="120" w:line="240" w:lineRule="auto"/>
        <w:rPr>
          <w:rFonts w:ascii="Georgia" w:hAnsi="Georgia"/>
          <w:sz w:val="18"/>
          <w:szCs w:val="18"/>
        </w:rPr>
      </w:pPr>
      <w:bookmarkStart w:id="24" w:name="Paragraph_268"/>
      <w:r w:rsidRPr="00B87DB1">
        <w:rPr>
          <w:rFonts w:ascii="Georgia" w:hAnsi="Georgia"/>
          <w:sz w:val="18"/>
          <w:szCs w:val="18"/>
        </w:rPr>
        <w:t xml:space="preserve">As explained more fully in the </w:t>
      </w:r>
      <w:r w:rsidRPr="004A1ED8">
        <w:rPr>
          <w:rFonts w:ascii="Georgia" w:hAnsi="Georgia"/>
          <w:sz w:val="18"/>
          <w:szCs w:val="18"/>
        </w:rPr>
        <w:t xml:space="preserve">Statement of </w:t>
      </w:r>
      <w:r w:rsidR="00535159" w:rsidRPr="004A1ED8">
        <w:rPr>
          <w:rFonts w:ascii="Georgia" w:hAnsi="Georgia"/>
          <w:sz w:val="18"/>
          <w:szCs w:val="18"/>
        </w:rPr>
        <w:t xml:space="preserve">the Corporate </w:t>
      </w:r>
      <w:r w:rsidRPr="007A68E9">
        <w:rPr>
          <w:rFonts w:ascii="Georgia" w:hAnsi="Georgia"/>
          <w:sz w:val="18"/>
          <w:szCs w:val="18"/>
        </w:rPr>
        <w:t>Trustee</w:t>
      </w:r>
      <w:r w:rsidR="00535159" w:rsidRPr="007A68E9">
        <w:rPr>
          <w:rFonts w:ascii="Georgia" w:hAnsi="Georgia"/>
          <w:sz w:val="18"/>
          <w:szCs w:val="18"/>
        </w:rPr>
        <w:t>’s</w:t>
      </w:r>
      <w:r w:rsidRPr="007A68E9">
        <w:rPr>
          <w:rFonts w:ascii="Georgia" w:hAnsi="Georgia"/>
          <w:sz w:val="18"/>
          <w:szCs w:val="18"/>
        </w:rPr>
        <w:t xml:space="preserve"> Responsibilities</w:t>
      </w:r>
      <w:r w:rsidRPr="004A1ED8">
        <w:rPr>
          <w:rFonts w:ascii="Georgia" w:hAnsi="Georgia"/>
          <w:sz w:val="18"/>
          <w:szCs w:val="18"/>
        </w:rPr>
        <w:t xml:space="preserve"> set out on </w:t>
      </w:r>
      <w:r w:rsidRPr="00B87DB1">
        <w:rPr>
          <w:rFonts w:ascii="Georgia" w:hAnsi="Georgia"/>
          <w:sz w:val="18"/>
          <w:szCs w:val="18"/>
        </w:rPr>
        <w:t xml:space="preserve">page 13, the trustee </w:t>
      </w:r>
      <w:r w:rsidR="00535159">
        <w:rPr>
          <w:rFonts w:ascii="Georgia" w:hAnsi="Georgia"/>
          <w:sz w:val="18"/>
          <w:szCs w:val="18"/>
        </w:rPr>
        <w:t>is</w:t>
      </w:r>
      <w:r w:rsidRPr="00B87DB1">
        <w:rPr>
          <w:rFonts w:ascii="Georgia" w:hAnsi="Georgia"/>
          <w:sz w:val="18"/>
          <w:szCs w:val="18"/>
        </w:rPr>
        <w:t xml:space="preserve"> responsible for the preparation of the financial statements in accordance with the applicable framework and for being satisfied that they give a true and fair view. The trustee</w:t>
      </w:r>
      <w:r w:rsidR="00535159">
        <w:rPr>
          <w:rFonts w:ascii="Georgia" w:hAnsi="Georgia"/>
          <w:sz w:val="18"/>
          <w:szCs w:val="18"/>
        </w:rPr>
        <w:t xml:space="preserve"> is</w:t>
      </w:r>
      <w:r w:rsidRPr="00B87DB1">
        <w:rPr>
          <w:rFonts w:ascii="Georgia" w:hAnsi="Georgia"/>
          <w:sz w:val="18"/>
          <w:szCs w:val="18"/>
        </w:rPr>
        <w:t xml:space="preserve"> also responsible for such internal control as they determine is necessary to enable the preparation of financial statements that are free from material misstatement, whether due to fraud or error.</w:t>
      </w:r>
      <w:bookmarkEnd w:id="24"/>
    </w:p>
    <w:p w14:paraId="052DC251" w14:textId="49A87A8C" w:rsidR="00B87DB1" w:rsidRPr="00B87DB1" w:rsidRDefault="00B87DB1" w:rsidP="00B87DB1">
      <w:pPr>
        <w:pStyle w:val="BodyText"/>
        <w:spacing w:after="120" w:line="240" w:lineRule="auto"/>
        <w:rPr>
          <w:rFonts w:ascii="Georgia" w:hAnsi="Georgia"/>
          <w:sz w:val="18"/>
          <w:szCs w:val="18"/>
        </w:rPr>
      </w:pPr>
      <w:bookmarkStart w:id="25" w:name="Paragraph_269"/>
      <w:r w:rsidRPr="00B87DB1">
        <w:rPr>
          <w:rFonts w:ascii="Georgia" w:hAnsi="Georgia"/>
          <w:sz w:val="18"/>
          <w:szCs w:val="18"/>
        </w:rPr>
        <w:t>In preparing the financial statements, the trustee</w:t>
      </w:r>
      <w:r w:rsidR="00535159">
        <w:rPr>
          <w:rFonts w:ascii="Georgia" w:hAnsi="Georgia"/>
          <w:sz w:val="18"/>
          <w:szCs w:val="18"/>
        </w:rPr>
        <w:t xml:space="preserve"> is</w:t>
      </w:r>
      <w:r w:rsidRPr="00B87DB1">
        <w:rPr>
          <w:rFonts w:ascii="Georgia" w:hAnsi="Georgia"/>
          <w:sz w:val="18"/>
          <w:szCs w:val="18"/>
        </w:rPr>
        <w:t xml:space="preserve"> responsible for assessing the charity’s</w:t>
      </w:r>
      <w:r w:rsidRPr="00B87DB1">
        <w:rPr>
          <w:rFonts w:ascii="Georgia" w:hAnsi="Georgia"/>
          <w:b/>
          <w:color w:val="FF0000"/>
          <w:sz w:val="18"/>
          <w:szCs w:val="18"/>
        </w:rPr>
        <w:t xml:space="preserve"> </w:t>
      </w:r>
      <w:r w:rsidRPr="00B87DB1">
        <w:rPr>
          <w:rFonts w:ascii="Georgia" w:hAnsi="Georgia"/>
          <w:sz w:val="18"/>
          <w:szCs w:val="18"/>
        </w:rPr>
        <w:t>ability to continue as a going concern, disclosing as applicable, matters related to going concern and using the going concern basis of accounting unless the trustee either intend</w:t>
      </w:r>
      <w:r w:rsidR="00535159">
        <w:rPr>
          <w:rFonts w:ascii="Georgia" w:hAnsi="Georgia"/>
          <w:sz w:val="18"/>
          <w:szCs w:val="18"/>
        </w:rPr>
        <w:t>s</w:t>
      </w:r>
      <w:r w:rsidRPr="00B87DB1">
        <w:rPr>
          <w:rFonts w:ascii="Georgia" w:hAnsi="Georgia"/>
          <w:sz w:val="18"/>
          <w:szCs w:val="18"/>
        </w:rPr>
        <w:t xml:space="preserve"> to liquidate the charity or to cease operations, or </w:t>
      </w:r>
      <w:proofErr w:type="spellStart"/>
      <w:r w:rsidRPr="00B87DB1">
        <w:rPr>
          <w:rFonts w:ascii="Georgia" w:hAnsi="Georgia"/>
          <w:sz w:val="18"/>
          <w:szCs w:val="18"/>
        </w:rPr>
        <w:t>ha</w:t>
      </w:r>
      <w:r w:rsidR="00535159">
        <w:rPr>
          <w:rFonts w:ascii="Georgia" w:hAnsi="Georgia"/>
          <w:sz w:val="18"/>
          <w:szCs w:val="18"/>
        </w:rPr>
        <w:t>s</w:t>
      </w:r>
      <w:r w:rsidRPr="00B87DB1">
        <w:rPr>
          <w:rFonts w:ascii="Georgia" w:hAnsi="Georgia"/>
          <w:sz w:val="18"/>
          <w:szCs w:val="18"/>
        </w:rPr>
        <w:t>e</w:t>
      </w:r>
      <w:proofErr w:type="spellEnd"/>
      <w:r w:rsidRPr="00B87DB1">
        <w:rPr>
          <w:rFonts w:ascii="Georgia" w:hAnsi="Georgia"/>
          <w:sz w:val="18"/>
          <w:szCs w:val="18"/>
        </w:rPr>
        <w:t xml:space="preserve"> no realistic alternative but to do so.</w:t>
      </w:r>
      <w:bookmarkEnd w:id="25"/>
    </w:p>
    <w:p w14:paraId="47845133" w14:textId="77777777" w:rsidR="00B87DB1" w:rsidRPr="00B87DB1" w:rsidRDefault="00B87DB1" w:rsidP="00B87DB1">
      <w:pPr>
        <w:pStyle w:val="Heading3"/>
        <w:spacing w:after="120" w:line="240" w:lineRule="auto"/>
        <w:rPr>
          <w:rFonts w:ascii="Georgia" w:eastAsiaTheme="majorEastAsia" w:hAnsi="Georgia"/>
          <w:b w:val="0"/>
          <w:bCs/>
          <w:i/>
          <w:color w:val="A32020"/>
          <w:sz w:val="20"/>
        </w:rPr>
      </w:pPr>
      <w:bookmarkStart w:id="26" w:name="Paragraph_270"/>
      <w:r w:rsidRPr="00B87DB1">
        <w:rPr>
          <w:rFonts w:ascii="Georgia" w:eastAsiaTheme="majorEastAsia" w:hAnsi="Georgia"/>
          <w:b w:val="0"/>
          <w:bCs/>
          <w:i/>
          <w:color w:val="A32020"/>
          <w:sz w:val="20"/>
        </w:rPr>
        <w:t>Auditors’ responsibilities for the audit of the financial statements</w:t>
      </w:r>
      <w:bookmarkEnd w:id="26"/>
    </w:p>
    <w:p w14:paraId="3A2BFF13" w14:textId="77777777" w:rsidR="00B87DB1" w:rsidRPr="00B87DB1" w:rsidRDefault="00B87DB1" w:rsidP="00B87DB1">
      <w:pPr>
        <w:pStyle w:val="BodyText"/>
        <w:spacing w:after="120" w:line="240" w:lineRule="auto"/>
        <w:rPr>
          <w:rFonts w:ascii="Georgia" w:hAnsi="Georgia"/>
          <w:sz w:val="18"/>
          <w:szCs w:val="18"/>
        </w:rPr>
      </w:pPr>
      <w:bookmarkStart w:id="27" w:name="Paragraph_271"/>
      <w:r w:rsidRPr="00B87DB1">
        <w:rPr>
          <w:rFonts w:ascii="Georgia" w:hAnsi="Georgia"/>
          <w:sz w:val="18"/>
          <w:szCs w:val="18"/>
        </w:rPr>
        <w:t xml:space="preserve">We are eligible to act and have been appointed as auditors under section 144 of the Charities Act 2011 and report in accordance with the Act and relevant regulations made or having effect thereunder. </w:t>
      </w:r>
    </w:p>
    <w:p w14:paraId="44E544CF" w14:textId="77777777" w:rsidR="00B87DB1" w:rsidRPr="00B87DB1" w:rsidRDefault="00B87DB1" w:rsidP="00B87DB1">
      <w:pPr>
        <w:pStyle w:val="BodyText"/>
        <w:spacing w:after="120" w:line="240" w:lineRule="auto"/>
        <w:rPr>
          <w:rFonts w:ascii="Georgia" w:hAnsi="Georgia"/>
          <w:sz w:val="18"/>
          <w:szCs w:val="18"/>
        </w:rPr>
      </w:pPr>
      <w:r w:rsidRPr="00B87DB1">
        <w:rPr>
          <w:rFonts w:ascii="Georgia" w:hAnsi="Georgia"/>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bookmarkEnd w:id="27"/>
    </w:p>
    <w:p w14:paraId="2A8D88ED" w14:textId="77777777" w:rsidR="00B87DB1" w:rsidRPr="00B87DB1" w:rsidRDefault="00B87DB1" w:rsidP="00B87DB1">
      <w:pPr>
        <w:pStyle w:val="BodyText"/>
        <w:spacing w:after="120" w:line="240" w:lineRule="auto"/>
        <w:rPr>
          <w:rFonts w:ascii="Georgia" w:hAnsi="Georgia"/>
          <w:sz w:val="18"/>
          <w:szCs w:val="18"/>
        </w:rPr>
      </w:pPr>
      <w:bookmarkStart w:id="28" w:name="Paragraph_272"/>
      <w:r w:rsidRPr="00B87DB1">
        <w:rPr>
          <w:rFonts w:ascii="Georgia" w:hAnsi="Georgia"/>
          <w:sz w:val="18"/>
          <w:szCs w:val="18"/>
        </w:rPr>
        <w:t>A further description of our responsibilities for the audit of the financial statements is located on the Financial Reporting Council’s website at: www.frc.org.uk/auditorsresponsibilities. This description forms part of our auditors’ report.</w:t>
      </w:r>
      <w:bookmarkEnd w:id="28"/>
    </w:p>
    <w:p w14:paraId="12CAA9C4" w14:textId="77777777" w:rsidR="00B87DB1" w:rsidRPr="00B87DB1" w:rsidRDefault="00B87DB1" w:rsidP="00B87DB1">
      <w:pPr>
        <w:pStyle w:val="Heading3"/>
        <w:spacing w:after="120" w:line="240" w:lineRule="auto"/>
        <w:rPr>
          <w:rFonts w:ascii="Georgia" w:eastAsiaTheme="majorEastAsia" w:hAnsi="Georgia"/>
          <w:b w:val="0"/>
          <w:bCs/>
          <w:i/>
          <w:color w:val="A32020"/>
          <w:sz w:val="20"/>
        </w:rPr>
      </w:pPr>
      <w:bookmarkStart w:id="29" w:name="Paragraph_274"/>
      <w:r w:rsidRPr="00B87DB1">
        <w:rPr>
          <w:rFonts w:ascii="Georgia" w:eastAsiaTheme="majorEastAsia" w:hAnsi="Georgia"/>
          <w:b w:val="0"/>
          <w:bCs/>
          <w:i/>
          <w:color w:val="A32020"/>
          <w:sz w:val="20"/>
        </w:rPr>
        <w:t>Use of this report</w:t>
      </w:r>
      <w:bookmarkEnd w:id="29"/>
    </w:p>
    <w:p w14:paraId="1EFAB003" w14:textId="39603168" w:rsidR="00B87DB1" w:rsidRDefault="00B87DB1" w:rsidP="00B87DB1">
      <w:pPr>
        <w:pStyle w:val="BodyText"/>
        <w:spacing w:after="120" w:line="240" w:lineRule="auto"/>
        <w:rPr>
          <w:rFonts w:ascii="Georgia" w:hAnsi="Georgia"/>
          <w:sz w:val="28"/>
          <w:szCs w:val="28"/>
        </w:rPr>
      </w:pPr>
      <w:bookmarkStart w:id="30" w:name="Paragraph_278"/>
      <w:r w:rsidRPr="00B87DB1">
        <w:rPr>
          <w:rFonts w:ascii="Georgia" w:hAnsi="Georgia"/>
          <w:sz w:val="18"/>
          <w:szCs w:val="18"/>
        </w:rPr>
        <w:t xml:space="preserve">This report, including the opinions, has been prepared for and only for the charity’s trustee as a body in accordance with </w:t>
      </w:r>
      <w:r w:rsidRPr="00B87DB1">
        <w:rPr>
          <w:rFonts w:ascii="Georgia" w:hAnsi="Georgia" w:cs="Arial"/>
          <w:bCs/>
          <w:sz w:val="18"/>
          <w:szCs w:val="18"/>
        </w:rPr>
        <w:t xml:space="preserve">section 144 of the Charities Act 2011 and regulations made under section 154 of that Act (Part 4 of </w:t>
      </w:r>
      <w:r w:rsidRPr="00B87DB1">
        <w:rPr>
          <w:rFonts w:ascii="Georgia" w:hAnsi="Georgia" w:cs="Arial"/>
          <w:sz w:val="18"/>
          <w:szCs w:val="18"/>
        </w:rPr>
        <w:t xml:space="preserve">The Charities (Accounts and Reports) Regulations 2008) </w:t>
      </w:r>
      <w:r w:rsidRPr="00B87DB1">
        <w:rPr>
          <w:rFonts w:ascii="Georgia" w:hAnsi="Georgia"/>
          <w:sz w:val="18"/>
          <w:szCs w:val="18"/>
        </w:rPr>
        <w:t>and for no other purpose.  We do not, in giving these opinions, accept or assume responsibility for any other purpose or to any other person to whom this report is shown or into whose hands it may come save where expressly agreed by our prior consent in writing.</w:t>
      </w:r>
      <w:bookmarkEnd w:id="30"/>
    </w:p>
    <w:p w14:paraId="30FB6E29" w14:textId="77777777" w:rsidR="00B87DB1" w:rsidRPr="007A68E9" w:rsidRDefault="00B87DB1" w:rsidP="00B87DB1">
      <w:pPr>
        <w:pStyle w:val="BodyText"/>
        <w:spacing w:after="120" w:line="240" w:lineRule="auto"/>
        <w:rPr>
          <w:rFonts w:ascii="Georgia" w:hAnsi="Georgia"/>
          <w:b/>
          <w:sz w:val="28"/>
          <w:szCs w:val="28"/>
        </w:rPr>
      </w:pPr>
    </w:p>
    <w:p w14:paraId="31D09F6C" w14:textId="77777777" w:rsidR="00B87DB1" w:rsidRPr="001A136E" w:rsidRDefault="00B87DB1" w:rsidP="007A68E9">
      <w:pPr>
        <w:pStyle w:val="BodyText"/>
        <w:spacing w:after="120" w:line="240" w:lineRule="auto"/>
        <w:rPr>
          <w:rFonts w:ascii="Georgia" w:hAnsi="Georgia"/>
          <w:sz w:val="28"/>
          <w:szCs w:val="28"/>
        </w:rPr>
      </w:pPr>
      <w:bookmarkStart w:id="31" w:name="Paragraph_283"/>
      <w:r w:rsidRPr="007A68E9">
        <w:rPr>
          <w:rFonts w:ascii="Georgia" w:hAnsi="Georgia"/>
          <w:b/>
          <w:sz w:val="28"/>
          <w:szCs w:val="28"/>
        </w:rPr>
        <w:t>Other required reporting</w:t>
      </w:r>
      <w:bookmarkEnd w:id="31"/>
    </w:p>
    <w:p w14:paraId="2B80CD0D" w14:textId="77777777" w:rsidR="00B87DB1" w:rsidRPr="00B87DB1" w:rsidRDefault="00B87DB1" w:rsidP="00B87DB1">
      <w:pPr>
        <w:pStyle w:val="Heading2"/>
        <w:pBdr>
          <w:top w:val="single" w:sz="8" w:space="3" w:color="A32020"/>
        </w:pBdr>
        <w:spacing w:after="120" w:line="240" w:lineRule="auto"/>
        <w:rPr>
          <w:rFonts w:ascii="Georgia" w:eastAsiaTheme="majorEastAsia" w:hAnsi="Georgia"/>
          <w:bCs/>
          <w:color w:val="A32020"/>
          <w:szCs w:val="26"/>
        </w:rPr>
      </w:pPr>
      <w:bookmarkStart w:id="32" w:name="Paragraph_286"/>
      <w:bookmarkStart w:id="33" w:name="Paragraph_315"/>
      <w:r w:rsidRPr="00B87DB1">
        <w:rPr>
          <w:rFonts w:ascii="Georgia" w:eastAsiaTheme="majorEastAsia" w:hAnsi="Georgia"/>
          <w:bCs/>
          <w:color w:val="A32020"/>
          <w:szCs w:val="26"/>
        </w:rPr>
        <w:t>Charities Act 2011 exception reporting</w:t>
      </w:r>
      <w:bookmarkEnd w:id="32"/>
    </w:p>
    <w:p w14:paraId="074724E6" w14:textId="77777777" w:rsidR="00B87DB1" w:rsidRPr="00B87DB1" w:rsidRDefault="00B87DB1" w:rsidP="00B87DB1">
      <w:pPr>
        <w:pStyle w:val="BodyText"/>
        <w:spacing w:after="120" w:line="240" w:lineRule="auto"/>
        <w:rPr>
          <w:rFonts w:ascii="Georgia" w:hAnsi="Georgia"/>
          <w:sz w:val="18"/>
          <w:szCs w:val="18"/>
        </w:rPr>
      </w:pPr>
      <w:r w:rsidRPr="00B87DB1">
        <w:rPr>
          <w:rFonts w:ascii="Georgia" w:hAnsi="Georgia"/>
          <w:sz w:val="18"/>
          <w:szCs w:val="18"/>
        </w:rPr>
        <w:t>Under the Charities Act 2011 we are required to report to you if, in our opinion:</w:t>
      </w:r>
    </w:p>
    <w:p w14:paraId="4F5F2F5F" w14:textId="77777777" w:rsidR="00B87DB1" w:rsidRPr="00B87DB1" w:rsidRDefault="00B87DB1">
      <w:pPr>
        <w:pStyle w:val="ListBullet"/>
        <w:tabs>
          <w:tab w:val="clear" w:pos="596"/>
          <w:tab w:val="num" w:pos="0"/>
          <w:tab w:val="left" w:pos="720"/>
        </w:tabs>
        <w:spacing w:after="120" w:line="240" w:lineRule="auto"/>
        <w:ind w:left="1077" w:hanging="360"/>
        <w:rPr>
          <w:rFonts w:ascii="Georgia" w:hAnsi="Georgia"/>
          <w:sz w:val="18"/>
          <w:szCs w:val="18"/>
        </w:rPr>
      </w:pPr>
      <w:r w:rsidRPr="00B87DB1">
        <w:rPr>
          <w:rFonts w:ascii="Georgia" w:hAnsi="Georgia"/>
          <w:sz w:val="18"/>
          <w:szCs w:val="18"/>
        </w:rPr>
        <w:t>we have not received all the information and explanations we require for our audit; or</w:t>
      </w:r>
    </w:p>
    <w:p w14:paraId="11A9229C" w14:textId="77777777" w:rsidR="00B87DB1" w:rsidRPr="00B87DB1" w:rsidRDefault="00B87DB1">
      <w:pPr>
        <w:pStyle w:val="ListBullet"/>
        <w:tabs>
          <w:tab w:val="clear" w:pos="596"/>
          <w:tab w:val="num" w:pos="0"/>
          <w:tab w:val="left" w:pos="720"/>
        </w:tabs>
        <w:spacing w:after="120" w:line="240" w:lineRule="auto"/>
        <w:ind w:left="1077" w:hanging="360"/>
        <w:rPr>
          <w:rFonts w:ascii="Georgia" w:hAnsi="Georgia"/>
          <w:sz w:val="18"/>
          <w:szCs w:val="18"/>
        </w:rPr>
      </w:pPr>
      <w:r w:rsidRPr="00B87DB1">
        <w:rPr>
          <w:rFonts w:ascii="Georgia" w:hAnsi="Georgia"/>
          <w:sz w:val="18"/>
          <w:szCs w:val="18"/>
        </w:rPr>
        <w:t>sufficient accounting records have not been kept by the charity; or</w:t>
      </w:r>
    </w:p>
    <w:p w14:paraId="20A17F02" w14:textId="77777777" w:rsidR="00B87DB1" w:rsidRPr="00B87DB1" w:rsidRDefault="00B87DB1">
      <w:pPr>
        <w:pStyle w:val="ListBullet"/>
        <w:tabs>
          <w:tab w:val="clear" w:pos="596"/>
          <w:tab w:val="num" w:pos="0"/>
          <w:tab w:val="left" w:pos="720"/>
        </w:tabs>
        <w:spacing w:after="120" w:line="240" w:lineRule="auto"/>
        <w:ind w:left="1077" w:hanging="360"/>
        <w:rPr>
          <w:rFonts w:ascii="Georgia" w:hAnsi="Georgia"/>
          <w:sz w:val="18"/>
          <w:szCs w:val="18"/>
        </w:rPr>
      </w:pPr>
      <w:r w:rsidRPr="00B87DB1">
        <w:rPr>
          <w:rFonts w:ascii="Georgia" w:hAnsi="Georgia"/>
          <w:sz w:val="18"/>
          <w:szCs w:val="18"/>
        </w:rPr>
        <w:t>the</w:t>
      </w:r>
      <w:r w:rsidRPr="00B87DB1">
        <w:rPr>
          <w:rFonts w:ascii="Georgia" w:hAnsi="Georgia"/>
          <w:b/>
          <w:color w:val="FF0000"/>
          <w:sz w:val="18"/>
          <w:szCs w:val="18"/>
        </w:rPr>
        <w:t xml:space="preserve"> </w:t>
      </w:r>
      <w:r w:rsidRPr="00B87DB1">
        <w:rPr>
          <w:rFonts w:ascii="Georgia" w:hAnsi="Georgia"/>
          <w:sz w:val="18"/>
          <w:szCs w:val="18"/>
        </w:rPr>
        <w:t>financial statements are not in agreement with the accounting records and returns.</w:t>
      </w:r>
    </w:p>
    <w:p w14:paraId="6E923C60" w14:textId="77777777" w:rsidR="00B87DB1" w:rsidRPr="00B87DB1" w:rsidRDefault="00B87DB1" w:rsidP="007A68E9">
      <w:pPr>
        <w:pStyle w:val="BodyText"/>
        <w:spacing w:after="120" w:line="240" w:lineRule="auto"/>
        <w:rPr>
          <w:rFonts w:ascii="Georgia" w:hAnsi="Georgia"/>
          <w:sz w:val="18"/>
          <w:szCs w:val="18"/>
        </w:rPr>
      </w:pPr>
      <w:r w:rsidRPr="00B87DB1">
        <w:rPr>
          <w:rFonts w:ascii="Georgia" w:hAnsi="Georgia"/>
          <w:sz w:val="18"/>
          <w:szCs w:val="18"/>
        </w:rPr>
        <w:t>We have no exceptions to report arising from this responsibility.</w:t>
      </w:r>
    </w:p>
    <w:p w14:paraId="7B23281B" w14:textId="77777777" w:rsidR="00B87DB1" w:rsidRPr="00B87DB1" w:rsidRDefault="00B87DB1" w:rsidP="007A68E9">
      <w:pPr>
        <w:pStyle w:val="BodyText"/>
        <w:spacing w:after="120" w:line="240" w:lineRule="auto"/>
        <w:rPr>
          <w:rFonts w:ascii="Georgia" w:hAnsi="Georgia"/>
          <w:sz w:val="18"/>
          <w:szCs w:val="18"/>
        </w:rPr>
      </w:pPr>
    </w:p>
    <w:p w14:paraId="0EC6901E" w14:textId="77777777" w:rsidR="00B87DB1" w:rsidRPr="00B87DB1" w:rsidRDefault="00B87DB1">
      <w:pPr>
        <w:pStyle w:val="BodySingle0"/>
        <w:spacing w:after="120"/>
      </w:pPr>
      <w:bookmarkStart w:id="34" w:name="Paragraph_349"/>
      <w:bookmarkEnd w:id="33"/>
      <w:r w:rsidRPr="00B87DB1">
        <w:t>PricewaterhouseCoopers LLP</w:t>
      </w:r>
      <w:bookmarkEnd w:id="34"/>
    </w:p>
    <w:p w14:paraId="72938F8F" w14:textId="77777777" w:rsidR="00B87DB1" w:rsidRPr="00B87DB1" w:rsidRDefault="00B87DB1">
      <w:pPr>
        <w:pStyle w:val="BodySingle0"/>
        <w:spacing w:after="120"/>
      </w:pPr>
      <w:bookmarkStart w:id="35" w:name="Paragraph_364"/>
      <w:r w:rsidRPr="00B87DB1">
        <w:t>Chartered Accountants and Statutory Auditors</w:t>
      </w:r>
      <w:bookmarkEnd w:id="35"/>
    </w:p>
    <w:p w14:paraId="21F757CA" w14:textId="77777777" w:rsidR="00B87DB1" w:rsidRPr="00B87DB1" w:rsidRDefault="00B87DB1">
      <w:pPr>
        <w:pStyle w:val="BodySingle0"/>
        <w:spacing w:after="120"/>
      </w:pPr>
      <w:bookmarkStart w:id="36" w:name="Paragraph_365"/>
      <w:r w:rsidRPr="00B87DB1">
        <w:t>Cambridge</w:t>
      </w:r>
    </w:p>
    <w:p w14:paraId="28EF9728" w14:textId="77777777" w:rsidR="00B87DB1" w:rsidRPr="00B87DB1" w:rsidRDefault="00B87DB1" w:rsidP="007A68E9">
      <w:pPr>
        <w:pStyle w:val="BodyText"/>
        <w:spacing w:after="120" w:line="240" w:lineRule="auto"/>
        <w:rPr>
          <w:rFonts w:ascii="Georgia" w:hAnsi="Georgia"/>
          <w:sz w:val="18"/>
          <w:szCs w:val="18"/>
        </w:rPr>
      </w:pPr>
      <w:r w:rsidRPr="00B87DB1">
        <w:rPr>
          <w:rFonts w:ascii="Georgia" w:hAnsi="Georgia"/>
          <w:sz w:val="18"/>
          <w:szCs w:val="18"/>
        </w:rPr>
        <w:t>22 January 2019</w:t>
      </w:r>
    </w:p>
    <w:p w14:paraId="0A86AAE8" w14:textId="77777777" w:rsidR="00B87DB1" w:rsidRDefault="00B87DB1" w:rsidP="007A68E9">
      <w:pPr>
        <w:widowControl w:val="0"/>
        <w:autoSpaceDE w:val="0"/>
        <w:autoSpaceDN w:val="0"/>
        <w:adjustRightInd w:val="0"/>
        <w:spacing w:after="120" w:line="240" w:lineRule="auto"/>
        <w:rPr>
          <w:b/>
          <w:color w:val="FF0000"/>
        </w:rPr>
      </w:pPr>
      <w:r w:rsidRPr="00171449" w:rsidDel="00E5069F">
        <w:rPr>
          <w:b/>
          <w:color w:val="FF0000"/>
        </w:rPr>
        <w:t xml:space="preserve"> </w:t>
      </w:r>
      <w:bookmarkEnd w:id="36"/>
    </w:p>
    <w:p w14:paraId="6B5743CC" w14:textId="77777777" w:rsidR="00B87DB1" w:rsidRDefault="00B87DB1" w:rsidP="007A68E9">
      <w:pPr>
        <w:widowControl w:val="0"/>
        <w:autoSpaceDE w:val="0"/>
        <w:autoSpaceDN w:val="0"/>
        <w:adjustRightInd w:val="0"/>
        <w:spacing w:after="120" w:line="240" w:lineRule="auto"/>
        <w:rPr>
          <w:b/>
          <w:color w:val="FF0000"/>
        </w:rPr>
      </w:pPr>
    </w:p>
    <w:p w14:paraId="0DD0C7D2" w14:textId="77777777" w:rsidR="00B87DB1" w:rsidRDefault="00B87DB1" w:rsidP="007A68E9">
      <w:pPr>
        <w:widowControl w:val="0"/>
        <w:autoSpaceDE w:val="0"/>
        <w:autoSpaceDN w:val="0"/>
        <w:adjustRightInd w:val="0"/>
        <w:spacing w:after="120" w:line="240" w:lineRule="auto"/>
        <w:rPr>
          <w:sz w:val="18"/>
        </w:rPr>
      </w:pPr>
    </w:p>
    <w:p w14:paraId="1D8E8D8C" w14:textId="77777777" w:rsidR="00B87DB1" w:rsidRDefault="00B87DB1" w:rsidP="007A68E9">
      <w:pPr>
        <w:widowControl w:val="0"/>
        <w:autoSpaceDE w:val="0"/>
        <w:autoSpaceDN w:val="0"/>
        <w:adjustRightInd w:val="0"/>
        <w:spacing w:after="120" w:line="240" w:lineRule="auto"/>
        <w:rPr>
          <w:sz w:val="18"/>
        </w:rPr>
      </w:pPr>
    </w:p>
    <w:p w14:paraId="00D8E790" w14:textId="77777777" w:rsidR="00B87DB1" w:rsidRPr="009A53F9" w:rsidRDefault="00B87DB1">
      <w:pPr>
        <w:pStyle w:val="LetteredFootnote"/>
        <w:numPr>
          <w:ilvl w:val="0"/>
          <w:numId w:val="0"/>
        </w:numPr>
        <w:ind w:left="142"/>
      </w:pPr>
    </w:p>
    <w:p w14:paraId="1C383F87" w14:textId="77777777" w:rsidR="00B87DB1" w:rsidRPr="006F5720" w:rsidRDefault="00B87DB1" w:rsidP="007A68E9">
      <w:pPr>
        <w:spacing w:after="120" w:line="240" w:lineRule="auto"/>
        <w:rPr>
          <w:sz w:val="18"/>
          <w:szCs w:val="18"/>
        </w:rPr>
      </w:pPr>
    </w:p>
    <w:p w14:paraId="34E9EB12" w14:textId="77777777" w:rsidR="00B87DB1" w:rsidRDefault="00B87DB1" w:rsidP="007A68E9">
      <w:pPr>
        <w:spacing w:after="120" w:line="240" w:lineRule="auto"/>
      </w:pPr>
    </w:p>
    <w:p w14:paraId="4F190B93" w14:textId="1211CF94" w:rsidR="00C066DC" w:rsidRPr="002B2821" w:rsidRDefault="008D56B3" w:rsidP="00F91082">
      <w:pPr>
        <w:pStyle w:val="Heading1"/>
      </w:pPr>
      <w:bookmarkStart w:id="37" w:name="_Toc532990623"/>
      <w:bookmarkEnd w:id="3"/>
      <w:r w:rsidRPr="002B2821">
        <w:lastRenderedPageBreak/>
        <w:t xml:space="preserve">Statement of financial activities for the </w:t>
      </w:r>
      <w:r w:rsidR="00AF09CE" w:rsidRPr="002B2821">
        <w:t>year</w:t>
      </w:r>
      <w:r w:rsidRPr="002B2821">
        <w:t xml:space="preserve"> ended 30 </w:t>
      </w:r>
      <w:r w:rsidR="006908D8" w:rsidRPr="002B2821">
        <w:t>September</w:t>
      </w:r>
      <w:r w:rsidR="00761311" w:rsidRPr="002B2821">
        <w:t xml:space="preserve"> </w:t>
      </w:r>
      <w:r w:rsidRPr="002B2821">
        <w:t>201</w:t>
      </w:r>
      <w:r w:rsidR="00064EC4" w:rsidRPr="002B2821">
        <w:t>8</w:t>
      </w:r>
      <w:bookmarkEnd w:id="37"/>
    </w:p>
    <w:tbl>
      <w:tblPr>
        <w:tblW w:w="10063" w:type="dxa"/>
        <w:tblInd w:w="-671" w:type="dxa"/>
        <w:tblLook w:val="04A0" w:firstRow="1" w:lastRow="0" w:firstColumn="1" w:lastColumn="0" w:noHBand="0" w:noVBand="1"/>
      </w:tblPr>
      <w:tblGrid>
        <w:gridCol w:w="3365"/>
        <w:gridCol w:w="672"/>
        <w:gridCol w:w="1465"/>
        <w:gridCol w:w="314"/>
        <w:gridCol w:w="1229"/>
        <w:gridCol w:w="299"/>
        <w:gridCol w:w="1315"/>
        <w:gridCol w:w="359"/>
        <w:gridCol w:w="1030"/>
        <w:gridCol w:w="299"/>
      </w:tblGrid>
      <w:tr w:rsidR="00064EC4" w:rsidRPr="002B2821" w14:paraId="5C9A108A" w14:textId="77777777" w:rsidTr="00064EC4">
        <w:trPr>
          <w:trHeight w:val="270"/>
        </w:trPr>
        <w:tc>
          <w:tcPr>
            <w:tcW w:w="3365" w:type="dxa"/>
            <w:tcBorders>
              <w:top w:val="nil"/>
              <w:left w:val="nil"/>
              <w:bottom w:val="nil"/>
              <w:right w:val="nil"/>
            </w:tcBorders>
            <w:shd w:val="clear" w:color="auto" w:fill="auto"/>
            <w:noWrap/>
            <w:vAlign w:val="bottom"/>
            <w:hideMark/>
          </w:tcPr>
          <w:p w14:paraId="18A38E8D" w14:textId="77777777" w:rsidR="00064EC4" w:rsidRPr="002B2821" w:rsidRDefault="00064EC4" w:rsidP="00064EC4">
            <w:pPr>
              <w:spacing w:after="0" w:line="240" w:lineRule="auto"/>
              <w:rPr>
                <w:sz w:val="24"/>
                <w:szCs w:val="24"/>
                <w:lang w:eastAsia="en-GB"/>
              </w:rPr>
            </w:pPr>
            <w:bookmarkStart w:id="38" w:name="_Toc517758078"/>
          </w:p>
        </w:tc>
        <w:tc>
          <w:tcPr>
            <w:tcW w:w="388" w:type="dxa"/>
            <w:tcBorders>
              <w:top w:val="nil"/>
              <w:left w:val="nil"/>
              <w:bottom w:val="nil"/>
              <w:right w:val="nil"/>
            </w:tcBorders>
            <w:shd w:val="clear" w:color="auto" w:fill="auto"/>
            <w:noWrap/>
            <w:vAlign w:val="bottom"/>
            <w:hideMark/>
          </w:tcPr>
          <w:p w14:paraId="55A083F3"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09F2DB1F"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Unrestricted</w:t>
            </w:r>
          </w:p>
        </w:tc>
        <w:tc>
          <w:tcPr>
            <w:tcW w:w="314" w:type="dxa"/>
            <w:tcBorders>
              <w:top w:val="nil"/>
              <w:left w:val="nil"/>
              <w:bottom w:val="nil"/>
              <w:right w:val="nil"/>
            </w:tcBorders>
            <w:shd w:val="clear" w:color="auto" w:fill="auto"/>
            <w:noWrap/>
            <w:vAlign w:val="bottom"/>
            <w:hideMark/>
          </w:tcPr>
          <w:p w14:paraId="44CCDF92"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02A9BD6F"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Restricted</w:t>
            </w:r>
          </w:p>
        </w:tc>
        <w:tc>
          <w:tcPr>
            <w:tcW w:w="299" w:type="dxa"/>
            <w:tcBorders>
              <w:top w:val="nil"/>
              <w:left w:val="nil"/>
              <w:bottom w:val="nil"/>
              <w:right w:val="nil"/>
            </w:tcBorders>
            <w:shd w:val="clear" w:color="auto" w:fill="auto"/>
            <w:noWrap/>
            <w:vAlign w:val="bottom"/>
            <w:hideMark/>
          </w:tcPr>
          <w:p w14:paraId="44D4F330"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315" w:type="dxa"/>
            <w:tcBorders>
              <w:top w:val="nil"/>
              <w:left w:val="nil"/>
              <w:bottom w:val="nil"/>
              <w:right w:val="nil"/>
            </w:tcBorders>
            <w:shd w:val="clear" w:color="auto" w:fill="auto"/>
            <w:noWrap/>
            <w:vAlign w:val="bottom"/>
            <w:hideMark/>
          </w:tcPr>
          <w:p w14:paraId="38824431"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 Funds</w:t>
            </w:r>
          </w:p>
        </w:tc>
        <w:tc>
          <w:tcPr>
            <w:tcW w:w="359" w:type="dxa"/>
            <w:tcBorders>
              <w:top w:val="nil"/>
              <w:left w:val="nil"/>
              <w:bottom w:val="nil"/>
              <w:right w:val="nil"/>
            </w:tcBorders>
            <w:shd w:val="clear" w:color="auto" w:fill="auto"/>
            <w:noWrap/>
            <w:vAlign w:val="bottom"/>
            <w:hideMark/>
          </w:tcPr>
          <w:p w14:paraId="787EEEC7"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030" w:type="dxa"/>
            <w:tcBorders>
              <w:top w:val="nil"/>
              <w:left w:val="nil"/>
              <w:bottom w:val="nil"/>
              <w:right w:val="nil"/>
            </w:tcBorders>
            <w:shd w:val="clear" w:color="auto" w:fill="auto"/>
            <w:noWrap/>
            <w:vAlign w:val="bottom"/>
            <w:hideMark/>
          </w:tcPr>
          <w:p w14:paraId="389B4679" w14:textId="77777777" w:rsidR="00064EC4" w:rsidRPr="002B2821" w:rsidRDefault="00064EC4" w:rsidP="00064EC4">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Total Funds</w:t>
            </w:r>
          </w:p>
        </w:tc>
        <w:tc>
          <w:tcPr>
            <w:tcW w:w="299" w:type="dxa"/>
            <w:tcBorders>
              <w:top w:val="nil"/>
              <w:left w:val="nil"/>
              <w:bottom w:val="nil"/>
              <w:right w:val="nil"/>
            </w:tcBorders>
            <w:shd w:val="clear" w:color="auto" w:fill="auto"/>
            <w:noWrap/>
            <w:vAlign w:val="bottom"/>
            <w:hideMark/>
          </w:tcPr>
          <w:p w14:paraId="37EB654D" w14:textId="77777777" w:rsidR="00064EC4" w:rsidRPr="002B2821" w:rsidRDefault="00064EC4" w:rsidP="00064EC4">
            <w:pPr>
              <w:spacing w:after="0" w:line="240" w:lineRule="auto"/>
              <w:jc w:val="center"/>
              <w:rPr>
                <w:rFonts w:ascii="Calibri" w:hAnsi="Calibri" w:cs="Arial"/>
                <w:color w:val="333399"/>
                <w:sz w:val="24"/>
                <w:szCs w:val="24"/>
                <w:lang w:eastAsia="en-GB"/>
              </w:rPr>
            </w:pPr>
          </w:p>
        </w:tc>
      </w:tr>
      <w:tr w:rsidR="00064EC4" w:rsidRPr="002B2821" w14:paraId="5D022670" w14:textId="77777777" w:rsidTr="00064EC4">
        <w:trPr>
          <w:trHeight w:val="270"/>
        </w:trPr>
        <w:tc>
          <w:tcPr>
            <w:tcW w:w="3365" w:type="dxa"/>
            <w:tcBorders>
              <w:top w:val="nil"/>
              <w:left w:val="nil"/>
              <w:bottom w:val="nil"/>
              <w:right w:val="nil"/>
            </w:tcBorders>
            <w:shd w:val="clear" w:color="auto" w:fill="auto"/>
            <w:noWrap/>
            <w:vAlign w:val="bottom"/>
            <w:hideMark/>
          </w:tcPr>
          <w:p w14:paraId="1D79689C"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55AEE06B"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30E4481B"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Funds</w:t>
            </w:r>
          </w:p>
        </w:tc>
        <w:tc>
          <w:tcPr>
            <w:tcW w:w="314" w:type="dxa"/>
            <w:tcBorders>
              <w:top w:val="nil"/>
              <w:left w:val="nil"/>
              <w:bottom w:val="nil"/>
              <w:right w:val="nil"/>
            </w:tcBorders>
            <w:shd w:val="clear" w:color="auto" w:fill="auto"/>
            <w:noWrap/>
            <w:vAlign w:val="bottom"/>
            <w:hideMark/>
          </w:tcPr>
          <w:p w14:paraId="40AF087A"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15E513E7"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Funds</w:t>
            </w:r>
          </w:p>
        </w:tc>
        <w:tc>
          <w:tcPr>
            <w:tcW w:w="299" w:type="dxa"/>
            <w:tcBorders>
              <w:top w:val="nil"/>
              <w:left w:val="nil"/>
              <w:bottom w:val="nil"/>
              <w:right w:val="nil"/>
            </w:tcBorders>
            <w:shd w:val="clear" w:color="auto" w:fill="auto"/>
            <w:noWrap/>
            <w:vAlign w:val="bottom"/>
            <w:hideMark/>
          </w:tcPr>
          <w:p w14:paraId="103947C2"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315" w:type="dxa"/>
            <w:tcBorders>
              <w:top w:val="nil"/>
              <w:left w:val="nil"/>
              <w:bottom w:val="nil"/>
              <w:right w:val="nil"/>
            </w:tcBorders>
            <w:shd w:val="clear" w:color="auto" w:fill="auto"/>
            <w:noWrap/>
            <w:vAlign w:val="bottom"/>
            <w:hideMark/>
          </w:tcPr>
          <w:p w14:paraId="008291DB"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359" w:type="dxa"/>
            <w:tcBorders>
              <w:top w:val="nil"/>
              <w:left w:val="nil"/>
              <w:bottom w:val="nil"/>
              <w:right w:val="nil"/>
            </w:tcBorders>
            <w:shd w:val="clear" w:color="auto" w:fill="auto"/>
            <w:noWrap/>
            <w:vAlign w:val="bottom"/>
            <w:hideMark/>
          </w:tcPr>
          <w:p w14:paraId="2C2230C3"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030" w:type="dxa"/>
            <w:tcBorders>
              <w:top w:val="nil"/>
              <w:left w:val="nil"/>
              <w:bottom w:val="nil"/>
              <w:right w:val="nil"/>
            </w:tcBorders>
            <w:shd w:val="clear" w:color="auto" w:fill="auto"/>
            <w:noWrap/>
            <w:vAlign w:val="bottom"/>
            <w:hideMark/>
          </w:tcPr>
          <w:p w14:paraId="36B57724" w14:textId="77777777" w:rsidR="00064EC4" w:rsidRPr="002B2821" w:rsidRDefault="00064EC4" w:rsidP="00064EC4">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99" w:type="dxa"/>
            <w:tcBorders>
              <w:top w:val="nil"/>
              <w:left w:val="nil"/>
              <w:bottom w:val="nil"/>
              <w:right w:val="nil"/>
            </w:tcBorders>
            <w:shd w:val="clear" w:color="auto" w:fill="auto"/>
            <w:noWrap/>
            <w:vAlign w:val="bottom"/>
            <w:hideMark/>
          </w:tcPr>
          <w:p w14:paraId="6AA87E4C" w14:textId="77777777" w:rsidR="00064EC4" w:rsidRPr="002B2821" w:rsidRDefault="00064EC4" w:rsidP="00064EC4">
            <w:pPr>
              <w:spacing w:after="0" w:line="240" w:lineRule="auto"/>
              <w:jc w:val="center"/>
              <w:rPr>
                <w:rFonts w:ascii="Calibri" w:hAnsi="Calibri" w:cs="Arial"/>
                <w:color w:val="333399"/>
                <w:sz w:val="24"/>
                <w:szCs w:val="24"/>
                <w:lang w:eastAsia="en-GB"/>
              </w:rPr>
            </w:pPr>
          </w:p>
        </w:tc>
      </w:tr>
      <w:tr w:rsidR="00064EC4" w:rsidRPr="002B2821" w14:paraId="0D1F4373" w14:textId="77777777" w:rsidTr="00064EC4">
        <w:trPr>
          <w:trHeight w:val="270"/>
        </w:trPr>
        <w:tc>
          <w:tcPr>
            <w:tcW w:w="3365" w:type="dxa"/>
            <w:tcBorders>
              <w:top w:val="nil"/>
              <w:left w:val="nil"/>
              <w:bottom w:val="nil"/>
              <w:right w:val="nil"/>
            </w:tcBorders>
            <w:shd w:val="clear" w:color="auto" w:fill="auto"/>
            <w:noWrap/>
            <w:vAlign w:val="bottom"/>
            <w:hideMark/>
          </w:tcPr>
          <w:p w14:paraId="3689880E"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5535541B"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Note</w:t>
            </w:r>
          </w:p>
        </w:tc>
        <w:tc>
          <w:tcPr>
            <w:tcW w:w="1465" w:type="dxa"/>
            <w:tcBorders>
              <w:top w:val="nil"/>
              <w:left w:val="nil"/>
              <w:bottom w:val="nil"/>
              <w:right w:val="nil"/>
            </w:tcBorders>
            <w:shd w:val="clear" w:color="auto" w:fill="auto"/>
            <w:noWrap/>
            <w:vAlign w:val="bottom"/>
            <w:hideMark/>
          </w:tcPr>
          <w:p w14:paraId="79E87389"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314" w:type="dxa"/>
            <w:tcBorders>
              <w:top w:val="nil"/>
              <w:left w:val="nil"/>
              <w:bottom w:val="nil"/>
              <w:right w:val="nil"/>
            </w:tcBorders>
            <w:shd w:val="clear" w:color="auto" w:fill="auto"/>
            <w:noWrap/>
            <w:vAlign w:val="bottom"/>
            <w:hideMark/>
          </w:tcPr>
          <w:p w14:paraId="65A545E7"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1077A7EE"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299" w:type="dxa"/>
            <w:tcBorders>
              <w:top w:val="nil"/>
              <w:left w:val="nil"/>
              <w:bottom w:val="nil"/>
              <w:right w:val="nil"/>
            </w:tcBorders>
            <w:shd w:val="clear" w:color="auto" w:fill="auto"/>
            <w:noWrap/>
            <w:vAlign w:val="bottom"/>
            <w:hideMark/>
          </w:tcPr>
          <w:p w14:paraId="59721659"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315" w:type="dxa"/>
            <w:tcBorders>
              <w:top w:val="nil"/>
              <w:left w:val="nil"/>
              <w:bottom w:val="nil"/>
              <w:right w:val="nil"/>
            </w:tcBorders>
            <w:shd w:val="clear" w:color="auto" w:fill="auto"/>
            <w:noWrap/>
            <w:vAlign w:val="bottom"/>
            <w:hideMark/>
          </w:tcPr>
          <w:p w14:paraId="08D039B7" w14:textId="77777777" w:rsidR="00064EC4" w:rsidRPr="002B2821" w:rsidRDefault="00064EC4" w:rsidP="00064EC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359" w:type="dxa"/>
            <w:tcBorders>
              <w:top w:val="nil"/>
              <w:left w:val="nil"/>
              <w:bottom w:val="nil"/>
              <w:right w:val="nil"/>
            </w:tcBorders>
            <w:shd w:val="clear" w:color="auto" w:fill="auto"/>
            <w:noWrap/>
            <w:vAlign w:val="bottom"/>
            <w:hideMark/>
          </w:tcPr>
          <w:p w14:paraId="3742CBBE" w14:textId="77777777" w:rsidR="00064EC4" w:rsidRPr="002B2821" w:rsidRDefault="00064EC4" w:rsidP="00064EC4">
            <w:pPr>
              <w:spacing w:after="0" w:line="240" w:lineRule="auto"/>
              <w:jc w:val="center"/>
              <w:rPr>
                <w:rFonts w:ascii="Calibri" w:hAnsi="Calibri" w:cs="Arial"/>
                <w:b/>
                <w:bCs/>
                <w:color w:val="333399"/>
                <w:sz w:val="24"/>
                <w:szCs w:val="24"/>
                <w:lang w:eastAsia="en-GB"/>
              </w:rPr>
            </w:pPr>
          </w:p>
        </w:tc>
        <w:tc>
          <w:tcPr>
            <w:tcW w:w="1030" w:type="dxa"/>
            <w:tcBorders>
              <w:top w:val="nil"/>
              <w:left w:val="nil"/>
              <w:bottom w:val="nil"/>
              <w:right w:val="nil"/>
            </w:tcBorders>
            <w:shd w:val="clear" w:color="auto" w:fill="auto"/>
            <w:noWrap/>
            <w:vAlign w:val="bottom"/>
            <w:hideMark/>
          </w:tcPr>
          <w:p w14:paraId="188EFC96" w14:textId="77777777" w:rsidR="00064EC4" w:rsidRPr="002B2821" w:rsidRDefault="00064EC4" w:rsidP="00064EC4">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99" w:type="dxa"/>
            <w:tcBorders>
              <w:top w:val="nil"/>
              <w:left w:val="nil"/>
              <w:bottom w:val="nil"/>
              <w:right w:val="nil"/>
            </w:tcBorders>
            <w:shd w:val="clear" w:color="auto" w:fill="auto"/>
            <w:noWrap/>
            <w:vAlign w:val="bottom"/>
            <w:hideMark/>
          </w:tcPr>
          <w:p w14:paraId="407CC1B0" w14:textId="77777777" w:rsidR="00064EC4" w:rsidRPr="002B2821" w:rsidRDefault="00064EC4" w:rsidP="00064EC4">
            <w:pPr>
              <w:spacing w:after="0" w:line="240" w:lineRule="auto"/>
              <w:jc w:val="center"/>
              <w:rPr>
                <w:rFonts w:ascii="Calibri" w:hAnsi="Calibri" w:cs="Arial"/>
                <w:color w:val="333399"/>
                <w:sz w:val="24"/>
                <w:szCs w:val="24"/>
                <w:lang w:eastAsia="en-GB"/>
              </w:rPr>
            </w:pPr>
          </w:p>
        </w:tc>
      </w:tr>
      <w:tr w:rsidR="00064EC4" w:rsidRPr="002B2821" w14:paraId="4C183F42" w14:textId="77777777" w:rsidTr="00064EC4">
        <w:trPr>
          <w:trHeight w:val="270"/>
        </w:trPr>
        <w:tc>
          <w:tcPr>
            <w:tcW w:w="3365" w:type="dxa"/>
            <w:tcBorders>
              <w:top w:val="nil"/>
              <w:left w:val="nil"/>
              <w:bottom w:val="nil"/>
              <w:right w:val="nil"/>
            </w:tcBorders>
            <w:shd w:val="clear" w:color="auto" w:fill="auto"/>
            <w:noWrap/>
            <w:vAlign w:val="bottom"/>
            <w:hideMark/>
          </w:tcPr>
          <w:p w14:paraId="036B4356"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Income from:</w:t>
            </w:r>
          </w:p>
        </w:tc>
        <w:tc>
          <w:tcPr>
            <w:tcW w:w="388" w:type="dxa"/>
            <w:tcBorders>
              <w:top w:val="nil"/>
              <w:left w:val="nil"/>
              <w:bottom w:val="nil"/>
              <w:right w:val="nil"/>
            </w:tcBorders>
            <w:shd w:val="clear" w:color="auto" w:fill="auto"/>
            <w:noWrap/>
            <w:vAlign w:val="bottom"/>
            <w:hideMark/>
          </w:tcPr>
          <w:p w14:paraId="4502E254"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1AB1912D"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291B2AF7"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124C0160"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08DD89D5"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35FD6E92"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5687A7BC"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2D3AC930" w14:textId="2B17789D" w:rsidR="00064EC4" w:rsidRPr="003D0DFF" w:rsidRDefault="000F31D5" w:rsidP="00064EC4">
            <w:pPr>
              <w:spacing w:after="0" w:line="240" w:lineRule="auto"/>
              <w:rPr>
                <w:rFonts w:asciiTheme="minorHAnsi" w:hAnsiTheme="minorHAnsi"/>
                <w:lang w:eastAsia="en-GB"/>
              </w:rPr>
            </w:pPr>
            <w:r w:rsidRPr="003D0DFF">
              <w:rPr>
                <w:rFonts w:asciiTheme="minorHAnsi" w:hAnsiTheme="minorHAnsi"/>
                <w:lang w:eastAsia="en-GB"/>
              </w:rPr>
              <w:t>(note 17)</w:t>
            </w:r>
          </w:p>
        </w:tc>
        <w:tc>
          <w:tcPr>
            <w:tcW w:w="299" w:type="dxa"/>
            <w:tcBorders>
              <w:top w:val="nil"/>
              <w:left w:val="nil"/>
              <w:bottom w:val="nil"/>
              <w:right w:val="nil"/>
            </w:tcBorders>
            <w:shd w:val="clear" w:color="auto" w:fill="auto"/>
            <w:noWrap/>
            <w:vAlign w:val="bottom"/>
            <w:hideMark/>
          </w:tcPr>
          <w:p w14:paraId="434513E0" w14:textId="77777777" w:rsidR="00064EC4" w:rsidRPr="002B2821" w:rsidRDefault="00064EC4" w:rsidP="00064EC4">
            <w:pPr>
              <w:spacing w:after="0" w:line="240" w:lineRule="auto"/>
              <w:rPr>
                <w:lang w:eastAsia="en-GB"/>
              </w:rPr>
            </w:pPr>
          </w:p>
        </w:tc>
      </w:tr>
      <w:tr w:rsidR="00064EC4" w:rsidRPr="002B2821" w14:paraId="66EE2144" w14:textId="77777777" w:rsidTr="00064EC4">
        <w:trPr>
          <w:trHeight w:val="270"/>
        </w:trPr>
        <w:tc>
          <w:tcPr>
            <w:tcW w:w="3365" w:type="dxa"/>
            <w:tcBorders>
              <w:top w:val="nil"/>
              <w:left w:val="nil"/>
              <w:bottom w:val="nil"/>
              <w:right w:val="nil"/>
            </w:tcBorders>
            <w:shd w:val="clear" w:color="auto" w:fill="auto"/>
            <w:noWrap/>
            <w:vAlign w:val="bottom"/>
            <w:hideMark/>
          </w:tcPr>
          <w:p w14:paraId="593F9A5F" w14:textId="587BEA1B"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Diageo </w:t>
            </w:r>
            <w:r w:rsidR="006D2C80">
              <w:rPr>
                <w:rFonts w:ascii="Calibri" w:hAnsi="Calibri" w:cs="Arial"/>
                <w:color w:val="000000"/>
                <w:sz w:val="24"/>
                <w:szCs w:val="24"/>
                <w:lang w:eastAsia="en-GB"/>
              </w:rPr>
              <w:t xml:space="preserve">plc </w:t>
            </w:r>
            <w:r w:rsidRPr="002B2821">
              <w:rPr>
                <w:rFonts w:ascii="Calibri" w:hAnsi="Calibri" w:cs="Arial"/>
                <w:color w:val="000000"/>
                <w:sz w:val="24"/>
                <w:szCs w:val="24"/>
                <w:lang w:eastAsia="en-GB"/>
              </w:rPr>
              <w:t>donations</w:t>
            </w:r>
          </w:p>
        </w:tc>
        <w:tc>
          <w:tcPr>
            <w:tcW w:w="388" w:type="dxa"/>
            <w:tcBorders>
              <w:top w:val="nil"/>
              <w:left w:val="nil"/>
              <w:bottom w:val="nil"/>
              <w:right w:val="nil"/>
            </w:tcBorders>
            <w:shd w:val="clear" w:color="auto" w:fill="auto"/>
            <w:noWrap/>
            <w:vAlign w:val="bottom"/>
            <w:hideMark/>
          </w:tcPr>
          <w:p w14:paraId="78120EB7"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3 </w:t>
            </w:r>
          </w:p>
        </w:tc>
        <w:tc>
          <w:tcPr>
            <w:tcW w:w="1465" w:type="dxa"/>
            <w:tcBorders>
              <w:top w:val="nil"/>
              <w:left w:val="nil"/>
              <w:bottom w:val="nil"/>
              <w:right w:val="nil"/>
            </w:tcBorders>
            <w:shd w:val="clear" w:color="auto" w:fill="auto"/>
            <w:noWrap/>
            <w:vAlign w:val="bottom"/>
            <w:hideMark/>
          </w:tcPr>
          <w:p w14:paraId="67CB8B5F"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12,477 </w:t>
            </w:r>
          </w:p>
        </w:tc>
        <w:tc>
          <w:tcPr>
            <w:tcW w:w="314" w:type="dxa"/>
            <w:tcBorders>
              <w:top w:val="nil"/>
              <w:left w:val="nil"/>
              <w:bottom w:val="nil"/>
              <w:right w:val="nil"/>
            </w:tcBorders>
            <w:shd w:val="clear" w:color="auto" w:fill="auto"/>
            <w:noWrap/>
            <w:vAlign w:val="bottom"/>
            <w:hideMark/>
          </w:tcPr>
          <w:p w14:paraId="06AEB653"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77953676" w14:textId="061EDF19" w:rsidR="00064EC4" w:rsidRPr="002B2821" w:rsidRDefault="006704BD"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064EC4" w:rsidRPr="002B2821">
              <w:rPr>
                <w:rFonts w:ascii="Calibri" w:hAnsi="Calibri" w:cs="Arial"/>
                <w:b/>
                <w:bCs/>
                <w:color w:val="000000"/>
                <w:sz w:val="24"/>
                <w:szCs w:val="24"/>
                <w:lang w:eastAsia="en-GB"/>
              </w:rPr>
              <w:t xml:space="preserve"> </w:t>
            </w:r>
          </w:p>
        </w:tc>
        <w:tc>
          <w:tcPr>
            <w:tcW w:w="299" w:type="dxa"/>
            <w:tcBorders>
              <w:top w:val="nil"/>
              <w:left w:val="nil"/>
              <w:bottom w:val="nil"/>
              <w:right w:val="nil"/>
            </w:tcBorders>
            <w:shd w:val="clear" w:color="auto" w:fill="auto"/>
            <w:noWrap/>
            <w:vAlign w:val="bottom"/>
            <w:hideMark/>
          </w:tcPr>
          <w:p w14:paraId="3257426E"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589C4FA6"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12,477 </w:t>
            </w:r>
          </w:p>
        </w:tc>
        <w:tc>
          <w:tcPr>
            <w:tcW w:w="359" w:type="dxa"/>
            <w:tcBorders>
              <w:top w:val="nil"/>
              <w:left w:val="nil"/>
              <w:bottom w:val="nil"/>
              <w:right w:val="nil"/>
            </w:tcBorders>
            <w:shd w:val="clear" w:color="auto" w:fill="auto"/>
            <w:noWrap/>
            <w:vAlign w:val="bottom"/>
            <w:hideMark/>
          </w:tcPr>
          <w:p w14:paraId="7FA87D66"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7DDFBA0C"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39,427 </w:t>
            </w:r>
          </w:p>
        </w:tc>
        <w:tc>
          <w:tcPr>
            <w:tcW w:w="299" w:type="dxa"/>
            <w:tcBorders>
              <w:top w:val="nil"/>
              <w:left w:val="nil"/>
              <w:bottom w:val="nil"/>
              <w:right w:val="nil"/>
            </w:tcBorders>
            <w:shd w:val="clear" w:color="auto" w:fill="auto"/>
            <w:noWrap/>
            <w:vAlign w:val="bottom"/>
            <w:hideMark/>
          </w:tcPr>
          <w:p w14:paraId="0AF15247"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3889F238" w14:textId="77777777" w:rsidTr="00064EC4">
        <w:trPr>
          <w:trHeight w:val="270"/>
        </w:trPr>
        <w:tc>
          <w:tcPr>
            <w:tcW w:w="3365" w:type="dxa"/>
            <w:tcBorders>
              <w:top w:val="nil"/>
              <w:left w:val="nil"/>
              <w:bottom w:val="nil"/>
              <w:right w:val="nil"/>
            </w:tcBorders>
            <w:shd w:val="clear" w:color="auto" w:fill="auto"/>
            <w:noWrap/>
            <w:vAlign w:val="bottom"/>
            <w:hideMark/>
          </w:tcPr>
          <w:p w14:paraId="587F25BD" w14:textId="0A9535CB"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Health </w:t>
            </w:r>
            <w:r w:rsidR="00BC4715">
              <w:rPr>
                <w:rFonts w:ascii="Calibri" w:hAnsi="Calibri" w:cs="Arial"/>
                <w:color w:val="000000"/>
                <w:sz w:val="24"/>
                <w:szCs w:val="24"/>
                <w:lang w:eastAsia="en-GB"/>
              </w:rPr>
              <w:t xml:space="preserve">and Social Care </w:t>
            </w:r>
            <w:r w:rsidRPr="002B2821">
              <w:rPr>
                <w:rFonts w:ascii="Calibri" w:hAnsi="Calibri" w:cs="Arial"/>
                <w:color w:val="000000"/>
                <w:sz w:val="24"/>
                <w:szCs w:val="24"/>
                <w:lang w:eastAsia="en-GB"/>
              </w:rPr>
              <w:t>Department Grants</w:t>
            </w:r>
          </w:p>
        </w:tc>
        <w:tc>
          <w:tcPr>
            <w:tcW w:w="388" w:type="dxa"/>
            <w:tcBorders>
              <w:top w:val="nil"/>
              <w:left w:val="nil"/>
              <w:bottom w:val="nil"/>
              <w:right w:val="nil"/>
            </w:tcBorders>
            <w:shd w:val="clear" w:color="auto" w:fill="auto"/>
            <w:noWrap/>
            <w:vAlign w:val="bottom"/>
            <w:hideMark/>
          </w:tcPr>
          <w:p w14:paraId="20D79D0D"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5 </w:t>
            </w:r>
          </w:p>
        </w:tc>
        <w:tc>
          <w:tcPr>
            <w:tcW w:w="1465" w:type="dxa"/>
            <w:tcBorders>
              <w:top w:val="nil"/>
              <w:left w:val="nil"/>
              <w:bottom w:val="nil"/>
              <w:right w:val="nil"/>
            </w:tcBorders>
            <w:shd w:val="clear" w:color="auto" w:fill="auto"/>
            <w:noWrap/>
            <w:vAlign w:val="bottom"/>
            <w:hideMark/>
          </w:tcPr>
          <w:p w14:paraId="0AB0C9F4" w14:textId="5B54FBB5" w:rsidR="00064EC4" w:rsidRPr="002B2821" w:rsidRDefault="006704BD"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064EC4" w:rsidRPr="002B2821">
              <w:rPr>
                <w:rFonts w:ascii="Calibri" w:hAnsi="Calibri" w:cs="Arial"/>
                <w:b/>
                <w:bCs/>
                <w:color w:val="000000"/>
                <w:sz w:val="24"/>
                <w:szCs w:val="24"/>
                <w:lang w:eastAsia="en-GB"/>
              </w:rPr>
              <w:t xml:space="preserve"> </w:t>
            </w:r>
          </w:p>
        </w:tc>
        <w:tc>
          <w:tcPr>
            <w:tcW w:w="314" w:type="dxa"/>
            <w:tcBorders>
              <w:top w:val="nil"/>
              <w:left w:val="nil"/>
              <w:bottom w:val="nil"/>
              <w:right w:val="nil"/>
            </w:tcBorders>
            <w:shd w:val="clear" w:color="auto" w:fill="auto"/>
            <w:noWrap/>
            <w:vAlign w:val="bottom"/>
            <w:hideMark/>
          </w:tcPr>
          <w:p w14:paraId="3B403B08"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A256DE3"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10,946 </w:t>
            </w:r>
          </w:p>
        </w:tc>
        <w:tc>
          <w:tcPr>
            <w:tcW w:w="299" w:type="dxa"/>
            <w:tcBorders>
              <w:top w:val="nil"/>
              <w:left w:val="nil"/>
              <w:bottom w:val="nil"/>
              <w:right w:val="nil"/>
            </w:tcBorders>
            <w:shd w:val="clear" w:color="auto" w:fill="auto"/>
            <w:noWrap/>
            <w:vAlign w:val="bottom"/>
            <w:hideMark/>
          </w:tcPr>
          <w:p w14:paraId="78F557FB"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773D3310"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10,946 </w:t>
            </w:r>
          </w:p>
        </w:tc>
        <w:tc>
          <w:tcPr>
            <w:tcW w:w="359" w:type="dxa"/>
            <w:tcBorders>
              <w:top w:val="nil"/>
              <w:left w:val="nil"/>
              <w:bottom w:val="nil"/>
              <w:right w:val="nil"/>
            </w:tcBorders>
            <w:shd w:val="clear" w:color="auto" w:fill="auto"/>
            <w:noWrap/>
            <w:vAlign w:val="bottom"/>
            <w:hideMark/>
          </w:tcPr>
          <w:p w14:paraId="01DCE8D3"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12DC8B72"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8,907 </w:t>
            </w:r>
          </w:p>
        </w:tc>
        <w:tc>
          <w:tcPr>
            <w:tcW w:w="299" w:type="dxa"/>
            <w:tcBorders>
              <w:top w:val="nil"/>
              <w:left w:val="nil"/>
              <w:bottom w:val="nil"/>
              <w:right w:val="nil"/>
            </w:tcBorders>
            <w:shd w:val="clear" w:color="auto" w:fill="auto"/>
            <w:noWrap/>
            <w:vAlign w:val="bottom"/>
            <w:hideMark/>
          </w:tcPr>
          <w:p w14:paraId="31DE4F03"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33DD325B" w14:textId="77777777" w:rsidTr="00064EC4">
        <w:trPr>
          <w:trHeight w:val="270"/>
        </w:trPr>
        <w:tc>
          <w:tcPr>
            <w:tcW w:w="3365" w:type="dxa"/>
            <w:tcBorders>
              <w:top w:val="nil"/>
              <w:left w:val="nil"/>
              <w:bottom w:val="nil"/>
              <w:right w:val="nil"/>
            </w:tcBorders>
            <w:shd w:val="clear" w:color="auto" w:fill="auto"/>
            <w:noWrap/>
            <w:vAlign w:val="bottom"/>
            <w:hideMark/>
          </w:tcPr>
          <w:p w14:paraId="1F1E16CD"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Investment income</w:t>
            </w:r>
          </w:p>
        </w:tc>
        <w:tc>
          <w:tcPr>
            <w:tcW w:w="388" w:type="dxa"/>
            <w:tcBorders>
              <w:top w:val="nil"/>
              <w:left w:val="nil"/>
              <w:bottom w:val="nil"/>
              <w:right w:val="nil"/>
            </w:tcBorders>
            <w:shd w:val="clear" w:color="auto" w:fill="auto"/>
            <w:noWrap/>
            <w:vAlign w:val="bottom"/>
            <w:hideMark/>
          </w:tcPr>
          <w:p w14:paraId="605D82BF"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2 </w:t>
            </w:r>
          </w:p>
        </w:tc>
        <w:tc>
          <w:tcPr>
            <w:tcW w:w="1465" w:type="dxa"/>
            <w:tcBorders>
              <w:top w:val="nil"/>
              <w:left w:val="nil"/>
              <w:bottom w:val="nil"/>
              <w:right w:val="nil"/>
            </w:tcBorders>
            <w:shd w:val="clear" w:color="auto" w:fill="auto"/>
            <w:noWrap/>
            <w:vAlign w:val="bottom"/>
            <w:hideMark/>
          </w:tcPr>
          <w:p w14:paraId="7E6DD624"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4,501 </w:t>
            </w:r>
          </w:p>
        </w:tc>
        <w:tc>
          <w:tcPr>
            <w:tcW w:w="314" w:type="dxa"/>
            <w:tcBorders>
              <w:top w:val="nil"/>
              <w:left w:val="nil"/>
              <w:bottom w:val="nil"/>
              <w:right w:val="nil"/>
            </w:tcBorders>
            <w:shd w:val="clear" w:color="auto" w:fill="auto"/>
            <w:noWrap/>
            <w:vAlign w:val="bottom"/>
            <w:hideMark/>
          </w:tcPr>
          <w:p w14:paraId="56BD0D7A"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DBAD877"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3 </w:t>
            </w:r>
          </w:p>
        </w:tc>
        <w:tc>
          <w:tcPr>
            <w:tcW w:w="299" w:type="dxa"/>
            <w:tcBorders>
              <w:top w:val="nil"/>
              <w:left w:val="nil"/>
              <w:bottom w:val="nil"/>
              <w:right w:val="nil"/>
            </w:tcBorders>
            <w:shd w:val="clear" w:color="auto" w:fill="auto"/>
            <w:noWrap/>
            <w:vAlign w:val="bottom"/>
            <w:hideMark/>
          </w:tcPr>
          <w:p w14:paraId="740F0A38"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00080101"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4,504 </w:t>
            </w:r>
          </w:p>
        </w:tc>
        <w:tc>
          <w:tcPr>
            <w:tcW w:w="359" w:type="dxa"/>
            <w:tcBorders>
              <w:top w:val="nil"/>
              <w:left w:val="nil"/>
              <w:bottom w:val="nil"/>
              <w:right w:val="nil"/>
            </w:tcBorders>
            <w:shd w:val="clear" w:color="auto" w:fill="auto"/>
            <w:noWrap/>
            <w:vAlign w:val="bottom"/>
            <w:hideMark/>
          </w:tcPr>
          <w:p w14:paraId="4E1B442D"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071350C3"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3,631 </w:t>
            </w:r>
          </w:p>
        </w:tc>
        <w:tc>
          <w:tcPr>
            <w:tcW w:w="299" w:type="dxa"/>
            <w:tcBorders>
              <w:top w:val="nil"/>
              <w:left w:val="nil"/>
              <w:bottom w:val="nil"/>
              <w:right w:val="nil"/>
            </w:tcBorders>
            <w:shd w:val="clear" w:color="auto" w:fill="auto"/>
            <w:noWrap/>
            <w:vAlign w:val="bottom"/>
            <w:hideMark/>
          </w:tcPr>
          <w:p w14:paraId="0B0E04DC"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55B60C3B" w14:textId="77777777" w:rsidTr="00064EC4">
        <w:trPr>
          <w:trHeight w:val="270"/>
        </w:trPr>
        <w:tc>
          <w:tcPr>
            <w:tcW w:w="3365" w:type="dxa"/>
            <w:tcBorders>
              <w:top w:val="nil"/>
              <w:left w:val="nil"/>
              <w:bottom w:val="nil"/>
              <w:right w:val="nil"/>
            </w:tcBorders>
            <w:shd w:val="clear" w:color="auto" w:fill="auto"/>
            <w:noWrap/>
            <w:vAlign w:val="bottom"/>
            <w:hideMark/>
          </w:tcPr>
          <w:p w14:paraId="47E19D02"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Other income</w:t>
            </w:r>
          </w:p>
        </w:tc>
        <w:tc>
          <w:tcPr>
            <w:tcW w:w="388" w:type="dxa"/>
            <w:tcBorders>
              <w:top w:val="nil"/>
              <w:left w:val="nil"/>
              <w:bottom w:val="nil"/>
              <w:right w:val="nil"/>
            </w:tcBorders>
            <w:shd w:val="clear" w:color="auto" w:fill="auto"/>
            <w:noWrap/>
            <w:vAlign w:val="bottom"/>
            <w:hideMark/>
          </w:tcPr>
          <w:p w14:paraId="3551284C" w14:textId="77777777" w:rsidR="00064EC4" w:rsidRPr="002B2821" w:rsidRDefault="00064EC4" w:rsidP="00064EC4">
            <w:pPr>
              <w:spacing w:after="0" w:line="240" w:lineRule="auto"/>
              <w:rPr>
                <w:rFonts w:ascii="Calibri" w:hAnsi="Calibri" w:cs="Arial"/>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0583CBE5"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172 </w:t>
            </w:r>
          </w:p>
        </w:tc>
        <w:tc>
          <w:tcPr>
            <w:tcW w:w="314" w:type="dxa"/>
            <w:tcBorders>
              <w:top w:val="nil"/>
              <w:left w:val="nil"/>
              <w:bottom w:val="nil"/>
              <w:right w:val="nil"/>
            </w:tcBorders>
            <w:shd w:val="clear" w:color="auto" w:fill="auto"/>
            <w:noWrap/>
            <w:vAlign w:val="bottom"/>
            <w:hideMark/>
          </w:tcPr>
          <w:p w14:paraId="2C31D354"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0E850DC4" w14:textId="1F1D271A" w:rsidR="00064EC4" w:rsidRPr="002B2821" w:rsidRDefault="006704BD" w:rsidP="006704B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064EC4" w:rsidRPr="002B2821">
              <w:rPr>
                <w:rFonts w:ascii="Calibri" w:hAnsi="Calibri" w:cs="Arial"/>
                <w:b/>
                <w:bCs/>
                <w:color w:val="000000"/>
                <w:sz w:val="24"/>
                <w:szCs w:val="24"/>
                <w:lang w:eastAsia="en-GB"/>
              </w:rPr>
              <w:t xml:space="preserve"> </w:t>
            </w:r>
          </w:p>
        </w:tc>
        <w:tc>
          <w:tcPr>
            <w:tcW w:w="299" w:type="dxa"/>
            <w:tcBorders>
              <w:top w:val="nil"/>
              <w:left w:val="nil"/>
              <w:bottom w:val="nil"/>
              <w:right w:val="nil"/>
            </w:tcBorders>
            <w:shd w:val="clear" w:color="auto" w:fill="auto"/>
            <w:noWrap/>
            <w:vAlign w:val="bottom"/>
            <w:hideMark/>
          </w:tcPr>
          <w:p w14:paraId="216DE04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0F422052"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172 </w:t>
            </w:r>
          </w:p>
        </w:tc>
        <w:tc>
          <w:tcPr>
            <w:tcW w:w="359" w:type="dxa"/>
            <w:tcBorders>
              <w:top w:val="nil"/>
              <w:left w:val="nil"/>
              <w:bottom w:val="nil"/>
              <w:right w:val="nil"/>
            </w:tcBorders>
            <w:shd w:val="clear" w:color="auto" w:fill="auto"/>
            <w:noWrap/>
            <w:vAlign w:val="bottom"/>
            <w:hideMark/>
          </w:tcPr>
          <w:p w14:paraId="76DEAE6C"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57D64DC2"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260 </w:t>
            </w:r>
          </w:p>
        </w:tc>
        <w:tc>
          <w:tcPr>
            <w:tcW w:w="299" w:type="dxa"/>
            <w:tcBorders>
              <w:top w:val="nil"/>
              <w:left w:val="nil"/>
              <w:bottom w:val="nil"/>
              <w:right w:val="nil"/>
            </w:tcBorders>
            <w:shd w:val="clear" w:color="auto" w:fill="auto"/>
            <w:noWrap/>
            <w:vAlign w:val="bottom"/>
            <w:hideMark/>
          </w:tcPr>
          <w:p w14:paraId="5371F44D"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3A94C201" w14:textId="77777777" w:rsidTr="00064EC4">
        <w:trPr>
          <w:trHeight w:val="270"/>
        </w:trPr>
        <w:tc>
          <w:tcPr>
            <w:tcW w:w="3365" w:type="dxa"/>
            <w:tcBorders>
              <w:top w:val="nil"/>
              <w:left w:val="nil"/>
              <w:bottom w:val="nil"/>
              <w:right w:val="nil"/>
            </w:tcBorders>
            <w:shd w:val="clear" w:color="auto" w:fill="auto"/>
            <w:noWrap/>
            <w:vAlign w:val="bottom"/>
            <w:hideMark/>
          </w:tcPr>
          <w:p w14:paraId="4400209B"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53EFA6BC"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2BDC5EA1"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40270248"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38F5C0C"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1DCB14AC"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12E4DBEF"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70D6244E"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623BC549"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2A0C7297" w14:textId="77777777" w:rsidR="00064EC4" w:rsidRPr="002B2821" w:rsidRDefault="00064EC4" w:rsidP="00064EC4">
            <w:pPr>
              <w:spacing w:after="0" w:line="240" w:lineRule="auto"/>
              <w:rPr>
                <w:lang w:eastAsia="en-GB"/>
              </w:rPr>
            </w:pPr>
          </w:p>
        </w:tc>
      </w:tr>
      <w:tr w:rsidR="00064EC4" w:rsidRPr="002B2821" w14:paraId="43EEFAE2" w14:textId="77777777" w:rsidTr="00064EC4">
        <w:trPr>
          <w:trHeight w:val="270"/>
        </w:trPr>
        <w:tc>
          <w:tcPr>
            <w:tcW w:w="3365" w:type="dxa"/>
            <w:tcBorders>
              <w:top w:val="nil"/>
              <w:left w:val="nil"/>
              <w:bottom w:val="nil"/>
              <w:right w:val="nil"/>
            </w:tcBorders>
            <w:shd w:val="clear" w:color="auto" w:fill="auto"/>
            <w:noWrap/>
            <w:vAlign w:val="bottom"/>
            <w:hideMark/>
          </w:tcPr>
          <w:p w14:paraId="77E36E36"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Total</w:t>
            </w:r>
          </w:p>
        </w:tc>
        <w:tc>
          <w:tcPr>
            <w:tcW w:w="388" w:type="dxa"/>
            <w:tcBorders>
              <w:top w:val="nil"/>
              <w:left w:val="nil"/>
              <w:bottom w:val="nil"/>
              <w:right w:val="nil"/>
            </w:tcBorders>
            <w:shd w:val="clear" w:color="auto" w:fill="auto"/>
            <w:noWrap/>
            <w:vAlign w:val="bottom"/>
            <w:hideMark/>
          </w:tcPr>
          <w:p w14:paraId="6B080341"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single" w:sz="4" w:space="0" w:color="000000"/>
              <w:left w:val="nil"/>
              <w:bottom w:val="single" w:sz="4" w:space="0" w:color="000000"/>
              <w:right w:val="nil"/>
            </w:tcBorders>
            <w:shd w:val="clear" w:color="auto" w:fill="auto"/>
            <w:noWrap/>
            <w:vAlign w:val="bottom"/>
            <w:hideMark/>
          </w:tcPr>
          <w:p w14:paraId="2D71B559"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17,150 </w:t>
            </w:r>
          </w:p>
        </w:tc>
        <w:tc>
          <w:tcPr>
            <w:tcW w:w="314" w:type="dxa"/>
            <w:tcBorders>
              <w:top w:val="nil"/>
              <w:left w:val="nil"/>
              <w:bottom w:val="nil"/>
              <w:right w:val="nil"/>
            </w:tcBorders>
            <w:shd w:val="clear" w:color="auto" w:fill="auto"/>
            <w:noWrap/>
            <w:vAlign w:val="bottom"/>
            <w:hideMark/>
          </w:tcPr>
          <w:p w14:paraId="7E46DDFC"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single" w:sz="4" w:space="0" w:color="000000"/>
              <w:left w:val="nil"/>
              <w:bottom w:val="single" w:sz="4" w:space="0" w:color="000000"/>
              <w:right w:val="nil"/>
            </w:tcBorders>
            <w:shd w:val="clear" w:color="auto" w:fill="auto"/>
            <w:noWrap/>
            <w:vAlign w:val="bottom"/>
            <w:hideMark/>
          </w:tcPr>
          <w:p w14:paraId="7FBF17C3"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10,949 </w:t>
            </w:r>
          </w:p>
        </w:tc>
        <w:tc>
          <w:tcPr>
            <w:tcW w:w="299" w:type="dxa"/>
            <w:tcBorders>
              <w:top w:val="nil"/>
              <w:left w:val="nil"/>
              <w:bottom w:val="nil"/>
              <w:right w:val="nil"/>
            </w:tcBorders>
            <w:shd w:val="clear" w:color="auto" w:fill="auto"/>
            <w:noWrap/>
            <w:vAlign w:val="bottom"/>
            <w:hideMark/>
          </w:tcPr>
          <w:p w14:paraId="60FF808F"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single" w:sz="4" w:space="0" w:color="000000"/>
              <w:left w:val="nil"/>
              <w:bottom w:val="single" w:sz="4" w:space="0" w:color="000000"/>
              <w:right w:val="nil"/>
            </w:tcBorders>
            <w:shd w:val="clear" w:color="auto" w:fill="auto"/>
            <w:noWrap/>
            <w:vAlign w:val="bottom"/>
            <w:hideMark/>
          </w:tcPr>
          <w:p w14:paraId="44F3DD5E"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28,099 </w:t>
            </w:r>
          </w:p>
        </w:tc>
        <w:tc>
          <w:tcPr>
            <w:tcW w:w="359" w:type="dxa"/>
            <w:tcBorders>
              <w:top w:val="nil"/>
              <w:left w:val="nil"/>
              <w:bottom w:val="nil"/>
              <w:right w:val="nil"/>
            </w:tcBorders>
            <w:shd w:val="clear" w:color="auto" w:fill="auto"/>
            <w:noWrap/>
            <w:vAlign w:val="bottom"/>
            <w:hideMark/>
          </w:tcPr>
          <w:p w14:paraId="5A803CCF"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single" w:sz="4" w:space="0" w:color="000000"/>
              <w:left w:val="nil"/>
              <w:bottom w:val="single" w:sz="4" w:space="0" w:color="000000"/>
              <w:right w:val="nil"/>
            </w:tcBorders>
            <w:shd w:val="clear" w:color="auto" w:fill="auto"/>
            <w:noWrap/>
            <w:vAlign w:val="bottom"/>
            <w:hideMark/>
          </w:tcPr>
          <w:p w14:paraId="04A9ACFE"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52,225 </w:t>
            </w:r>
          </w:p>
        </w:tc>
        <w:tc>
          <w:tcPr>
            <w:tcW w:w="299" w:type="dxa"/>
            <w:tcBorders>
              <w:top w:val="nil"/>
              <w:left w:val="nil"/>
              <w:bottom w:val="nil"/>
              <w:right w:val="nil"/>
            </w:tcBorders>
            <w:shd w:val="clear" w:color="auto" w:fill="auto"/>
            <w:noWrap/>
            <w:vAlign w:val="bottom"/>
            <w:hideMark/>
          </w:tcPr>
          <w:p w14:paraId="7C5E2CF0"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227299BE" w14:textId="77777777" w:rsidTr="00064EC4">
        <w:trPr>
          <w:trHeight w:val="270"/>
        </w:trPr>
        <w:tc>
          <w:tcPr>
            <w:tcW w:w="3365" w:type="dxa"/>
            <w:tcBorders>
              <w:top w:val="nil"/>
              <w:left w:val="nil"/>
              <w:bottom w:val="nil"/>
              <w:right w:val="nil"/>
            </w:tcBorders>
            <w:shd w:val="clear" w:color="auto" w:fill="auto"/>
            <w:noWrap/>
            <w:vAlign w:val="bottom"/>
            <w:hideMark/>
          </w:tcPr>
          <w:p w14:paraId="421B8824"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3542B754"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5B7FDAB8"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52F6B071"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5CDBB298"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35F5F5C"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2CDA4D13"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4DCBA718"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18D631B7"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6C3E05D4" w14:textId="77777777" w:rsidR="00064EC4" w:rsidRPr="002B2821" w:rsidRDefault="00064EC4" w:rsidP="00064EC4">
            <w:pPr>
              <w:spacing w:after="0" w:line="240" w:lineRule="auto"/>
              <w:rPr>
                <w:lang w:eastAsia="en-GB"/>
              </w:rPr>
            </w:pPr>
          </w:p>
        </w:tc>
      </w:tr>
      <w:tr w:rsidR="00064EC4" w:rsidRPr="002B2821" w14:paraId="731DE191" w14:textId="77777777" w:rsidTr="00064EC4">
        <w:trPr>
          <w:trHeight w:val="270"/>
        </w:trPr>
        <w:tc>
          <w:tcPr>
            <w:tcW w:w="3365" w:type="dxa"/>
            <w:tcBorders>
              <w:top w:val="nil"/>
              <w:left w:val="nil"/>
              <w:bottom w:val="nil"/>
              <w:right w:val="nil"/>
            </w:tcBorders>
            <w:shd w:val="clear" w:color="auto" w:fill="auto"/>
            <w:noWrap/>
            <w:vAlign w:val="bottom"/>
            <w:hideMark/>
          </w:tcPr>
          <w:p w14:paraId="2180CE17"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Expenditure on raising funds:</w:t>
            </w:r>
          </w:p>
        </w:tc>
        <w:tc>
          <w:tcPr>
            <w:tcW w:w="388" w:type="dxa"/>
            <w:tcBorders>
              <w:top w:val="nil"/>
              <w:left w:val="nil"/>
              <w:bottom w:val="nil"/>
              <w:right w:val="nil"/>
            </w:tcBorders>
            <w:shd w:val="clear" w:color="auto" w:fill="auto"/>
            <w:noWrap/>
            <w:vAlign w:val="bottom"/>
            <w:hideMark/>
          </w:tcPr>
          <w:p w14:paraId="656F0771"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6F7D7801"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3B71A52A"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11DA1E31"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7C500C9"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5BBC07B1"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57800810"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65C223D4"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63E569EF" w14:textId="77777777" w:rsidR="00064EC4" w:rsidRPr="002B2821" w:rsidRDefault="00064EC4" w:rsidP="00064EC4">
            <w:pPr>
              <w:spacing w:after="0" w:line="240" w:lineRule="auto"/>
              <w:rPr>
                <w:lang w:eastAsia="en-GB"/>
              </w:rPr>
            </w:pPr>
          </w:p>
        </w:tc>
      </w:tr>
      <w:tr w:rsidR="00064EC4" w:rsidRPr="002B2821" w14:paraId="0A887272" w14:textId="77777777" w:rsidTr="00064EC4">
        <w:trPr>
          <w:trHeight w:val="270"/>
        </w:trPr>
        <w:tc>
          <w:tcPr>
            <w:tcW w:w="3365" w:type="dxa"/>
            <w:tcBorders>
              <w:top w:val="nil"/>
              <w:left w:val="nil"/>
              <w:bottom w:val="nil"/>
              <w:right w:val="nil"/>
            </w:tcBorders>
            <w:shd w:val="clear" w:color="auto" w:fill="auto"/>
            <w:noWrap/>
            <w:vAlign w:val="bottom"/>
            <w:hideMark/>
          </w:tcPr>
          <w:p w14:paraId="5C637F85"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Investment management fees </w:t>
            </w:r>
          </w:p>
        </w:tc>
        <w:tc>
          <w:tcPr>
            <w:tcW w:w="388" w:type="dxa"/>
            <w:tcBorders>
              <w:top w:val="nil"/>
              <w:left w:val="nil"/>
              <w:bottom w:val="nil"/>
              <w:right w:val="nil"/>
            </w:tcBorders>
            <w:shd w:val="clear" w:color="auto" w:fill="auto"/>
            <w:noWrap/>
            <w:vAlign w:val="bottom"/>
            <w:hideMark/>
          </w:tcPr>
          <w:p w14:paraId="701FF74B"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4,6</w:t>
            </w:r>
          </w:p>
        </w:tc>
        <w:tc>
          <w:tcPr>
            <w:tcW w:w="1465" w:type="dxa"/>
            <w:tcBorders>
              <w:top w:val="nil"/>
              <w:left w:val="nil"/>
              <w:bottom w:val="nil"/>
              <w:right w:val="nil"/>
            </w:tcBorders>
            <w:shd w:val="clear" w:color="auto" w:fill="auto"/>
            <w:noWrap/>
            <w:vAlign w:val="bottom"/>
            <w:hideMark/>
          </w:tcPr>
          <w:p w14:paraId="155EDA41"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(263)</w:t>
            </w:r>
          </w:p>
        </w:tc>
        <w:tc>
          <w:tcPr>
            <w:tcW w:w="314" w:type="dxa"/>
            <w:tcBorders>
              <w:top w:val="nil"/>
              <w:left w:val="nil"/>
              <w:bottom w:val="nil"/>
              <w:right w:val="nil"/>
            </w:tcBorders>
            <w:shd w:val="clear" w:color="auto" w:fill="auto"/>
            <w:noWrap/>
            <w:vAlign w:val="bottom"/>
            <w:hideMark/>
          </w:tcPr>
          <w:p w14:paraId="72E7B991"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EC6D43B" w14:textId="744ABCD5" w:rsidR="00064EC4" w:rsidRPr="002B2821" w:rsidRDefault="006704BD" w:rsidP="006704B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064EC4" w:rsidRPr="002B2821">
              <w:rPr>
                <w:rFonts w:ascii="Calibri" w:hAnsi="Calibri" w:cs="Arial"/>
                <w:b/>
                <w:bCs/>
                <w:color w:val="000000"/>
                <w:sz w:val="24"/>
                <w:szCs w:val="24"/>
                <w:lang w:eastAsia="en-GB"/>
              </w:rPr>
              <w:t xml:space="preserve"> </w:t>
            </w:r>
          </w:p>
        </w:tc>
        <w:tc>
          <w:tcPr>
            <w:tcW w:w="299" w:type="dxa"/>
            <w:tcBorders>
              <w:top w:val="nil"/>
              <w:left w:val="nil"/>
              <w:bottom w:val="nil"/>
              <w:right w:val="nil"/>
            </w:tcBorders>
            <w:shd w:val="clear" w:color="auto" w:fill="auto"/>
            <w:noWrap/>
            <w:vAlign w:val="bottom"/>
            <w:hideMark/>
          </w:tcPr>
          <w:p w14:paraId="6CC8AC47"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69861F9E"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(263)</w:t>
            </w:r>
          </w:p>
        </w:tc>
        <w:tc>
          <w:tcPr>
            <w:tcW w:w="359" w:type="dxa"/>
            <w:tcBorders>
              <w:top w:val="nil"/>
              <w:left w:val="nil"/>
              <w:bottom w:val="nil"/>
              <w:right w:val="nil"/>
            </w:tcBorders>
            <w:shd w:val="clear" w:color="auto" w:fill="auto"/>
            <w:noWrap/>
            <w:vAlign w:val="bottom"/>
            <w:hideMark/>
          </w:tcPr>
          <w:p w14:paraId="5977EC1B"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68A99D60"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(350)</w:t>
            </w:r>
          </w:p>
        </w:tc>
        <w:tc>
          <w:tcPr>
            <w:tcW w:w="299" w:type="dxa"/>
            <w:tcBorders>
              <w:top w:val="nil"/>
              <w:left w:val="nil"/>
              <w:bottom w:val="nil"/>
              <w:right w:val="nil"/>
            </w:tcBorders>
            <w:shd w:val="clear" w:color="auto" w:fill="auto"/>
            <w:noWrap/>
            <w:vAlign w:val="bottom"/>
            <w:hideMark/>
          </w:tcPr>
          <w:p w14:paraId="4E075659"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401B2316" w14:textId="77777777" w:rsidTr="00064EC4">
        <w:trPr>
          <w:trHeight w:val="270"/>
        </w:trPr>
        <w:tc>
          <w:tcPr>
            <w:tcW w:w="3365" w:type="dxa"/>
            <w:tcBorders>
              <w:top w:val="nil"/>
              <w:left w:val="nil"/>
              <w:bottom w:val="nil"/>
              <w:right w:val="nil"/>
            </w:tcBorders>
            <w:shd w:val="clear" w:color="auto" w:fill="auto"/>
            <w:noWrap/>
            <w:vAlign w:val="bottom"/>
            <w:hideMark/>
          </w:tcPr>
          <w:p w14:paraId="2F9B3849"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Administrative costs</w:t>
            </w:r>
          </w:p>
        </w:tc>
        <w:tc>
          <w:tcPr>
            <w:tcW w:w="388" w:type="dxa"/>
            <w:tcBorders>
              <w:top w:val="nil"/>
              <w:left w:val="nil"/>
              <w:bottom w:val="nil"/>
              <w:right w:val="nil"/>
            </w:tcBorders>
            <w:shd w:val="clear" w:color="auto" w:fill="auto"/>
            <w:noWrap/>
            <w:vAlign w:val="bottom"/>
            <w:hideMark/>
          </w:tcPr>
          <w:p w14:paraId="70CB1D30"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4,6</w:t>
            </w:r>
          </w:p>
        </w:tc>
        <w:tc>
          <w:tcPr>
            <w:tcW w:w="1465" w:type="dxa"/>
            <w:tcBorders>
              <w:top w:val="nil"/>
              <w:left w:val="nil"/>
              <w:bottom w:val="nil"/>
              <w:right w:val="nil"/>
            </w:tcBorders>
            <w:shd w:val="clear" w:color="auto" w:fill="auto"/>
            <w:noWrap/>
            <w:vAlign w:val="bottom"/>
            <w:hideMark/>
          </w:tcPr>
          <w:p w14:paraId="3B2B9E05"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(20)</w:t>
            </w:r>
          </w:p>
        </w:tc>
        <w:tc>
          <w:tcPr>
            <w:tcW w:w="314" w:type="dxa"/>
            <w:tcBorders>
              <w:top w:val="nil"/>
              <w:left w:val="nil"/>
              <w:bottom w:val="nil"/>
              <w:right w:val="nil"/>
            </w:tcBorders>
            <w:shd w:val="clear" w:color="auto" w:fill="auto"/>
            <w:noWrap/>
            <w:vAlign w:val="bottom"/>
            <w:hideMark/>
          </w:tcPr>
          <w:p w14:paraId="1359E8BB"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7B420946"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w:t>
            </w:r>
          </w:p>
        </w:tc>
        <w:tc>
          <w:tcPr>
            <w:tcW w:w="299" w:type="dxa"/>
            <w:tcBorders>
              <w:top w:val="nil"/>
              <w:left w:val="nil"/>
              <w:bottom w:val="nil"/>
              <w:right w:val="nil"/>
            </w:tcBorders>
            <w:shd w:val="clear" w:color="auto" w:fill="auto"/>
            <w:noWrap/>
            <w:vAlign w:val="bottom"/>
            <w:hideMark/>
          </w:tcPr>
          <w:p w14:paraId="2F6ABD3D"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2CEA9BE9"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(21)</w:t>
            </w:r>
          </w:p>
        </w:tc>
        <w:tc>
          <w:tcPr>
            <w:tcW w:w="359" w:type="dxa"/>
            <w:tcBorders>
              <w:top w:val="nil"/>
              <w:left w:val="nil"/>
              <w:bottom w:val="nil"/>
              <w:right w:val="nil"/>
            </w:tcBorders>
            <w:shd w:val="clear" w:color="auto" w:fill="auto"/>
            <w:noWrap/>
            <w:vAlign w:val="bottom"/>
            <w:hideMark/>
          </w:tcPr>
          <w:p w14:paraId="3F6C0FD0"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2FA7740F"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w:t>
            </w:r>
          </w:p>
        </w:tc>
        <w:tc>
          <w:tcPr>
            <w:tcW w:w="299" w:type="dxa"/>
            <w:tcBorders>
              <w:top w:val="nil"/>
              <w:left w:val="nil"/>
              <w:bottom w:val="nil"/>
              <w:right w:val="nil"/>
            </w:tcBorders>
            <w:shd w:val="clear" w:color="auto" w:fill="auto"/>
            <w:noWrap/>
            <w:vAlign w:val="bottom"/>
            <w:hideMark/>
          </w:tcPr>
          <w:p w14:paraId="461C2097"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6B4ED174" w14:textId="77777777" w:rsidTr="00064EC4">
        <w:trPr>
          <w:trHeight w:val="270"/>
        </w:trPr>
        <w:tc>
          <w:tcPr>
            <w:tcW w:w="3753" w:type="dxa"/>
            <w:gridSpan w:val="2"/>
            <w:tcBorders>
              <w:top w:val="nil"/>
              <w:left w:val="nil"/>
              <w:bottom w:val="nil"/>
              <w:right w:val="nil"/>
            </w:tcBorders>
            <w:shd w:val="clear" w:color="auto" w:fill="auto"/>
            <w:noWrap/>
            <w:vAlign w:val="bottom"/>
            <w:hideMark/>
          </w:tcPr>
          <w:p w14:paraId="6C1DE1D9" w14:textId="79FE5C33"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Expenditure on charitable activities</w:t>
            </w:r>
            <w:r w:rsidR="00983373">
              <w:rPr>
                <w:rFonts w:ascii="Calibri" w:hAnsi="Calibri" w:cs="Arial"/>
                <w:b/>
                <w:bCs/>
                <w:color w:val="000000"/>
                <w:sz w:val="24"/>
                <w:szCs w:val="24"/>
                <w:lang w:eastAsia="en-GB"/>
              </w:rPr>
              <w:t>:</w:t>
            </w:r>
          </w:p>
        </w:tc>
        <w:tc>
          <w:tcPr>
            <w:tcW w:w="1465" w:type="dxa"/>
            <w:tcBorders>
              <w:top w:val="nil"/>
              <w:left w:val="nil"/>
              <w:bottom w:val="nil"/>
              <w:right w:val="nil"/>
            </w:tcBorders>
            <w:shd w:val="clear" w:color="auto" w:fill="auto"/>
            <w:noWrap/>
            <w:vAlign w:val="bottom"/>
            <w:hideMark/>
          </w:tcPr>
          <w:p w14:paraId="516E4063"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314" w:type="dxa"/>
            <w:tcBorders>
              <w:top w:val="nil"/>
              <w:left w:val="nil"/>
              <w:bottom w:val="nil"/>
              <w:right w:val="nil"/>
            </w:tcBorders>
            <w:shd w:val="clear" w:color="auto" w:fill="auto"/>
            <w:noWrap/>
            <w:vAlign w:val="bottom"/>
            <w:hideMark/>
          </w:tcPr>
          <w:p w14:paraId="0DA8E7DD"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23D3D138"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100E1335"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0703A522"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31E2CAC4"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64898AA2"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0B9842FE" w14:textId="77777777" w:rsidR="00064EC4" w:rsidRPr="002B2821" w:rsidRDefault="00064EC4" w:rsidP="00064EC4">
            <w:pPr>
              <w:spacing w:after="0" w:line="240" w:lineRule="auto"/>
              <w:rPr>
                <w:lang w:eastAsia="en-GB"/>
              </w:rPr>
            </w:pPr>
          </w:p>
        </w:tc>
      </w:tr>
      <w:tr w:rsidR="00064EC4" w:rsidRPr="002B2821" w14:paraId="575800E8" w14:textId="77777777" w:rsidTr="00064EC4">
        <w:trPr>
          <w:trHeight w:val="270"/>
        </w:trPr>
        <w:tc>
          <w:tcPr>
            <w:tcW w:w="3365" w:type="dxa"/>
            <w:tcBorders>
              <w:top w:val="nil"/>
              <w:left w:val="nil"/>
              <w:bottom w:val="nil"/>
              <w:right w:val="nil"/>
            </w:tcBorders>
            <w:shd w:val="clear" w:color="auto" w:fill="auto"/>
            <w:noWrap/>
            <w:vAlign w:val="bottom"/>
            <w:hideMark/>
          </w:tcPr>
          <w:p w14:paraId="49C63E69" w14:textId="2E1738FC"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Grants</w:t>
            </w:r>
            <w:r w:rsidR="00B458AD">
              <w:rPr>
                <w:rFonts w:ascii="Calibri" w:hAnsi="Calibri" w:cs="Arial"/>
                <w:color w:val="000000"/>
                <w:sz w:val="24"/>
                <w:szCs w:val="24"/>
                <w:lang w:eastAsia="en-GB"/>
              </w:rPr>
              <w:t xml:space="preserve"> Awarded</w:t>
            </w:r>
          </w:p>
        </w:tc>
        <w:tc>
          <w:tcPr>
            <w:tcW w:w="388" w:type="dxa"/>
            <w:tcBorders>
              <w:top w:val="nil"/>
              <w:left w:val="nil"/>
              <w:bottom w:val="nil"/>
              <w:right w:val="nil"/>
            </w:tcBorders>
            <w:shd w:val="clear" w:color="auto" w:fill="auto"/>
            <w:noWrap/>
            <w:vAlign w:val="bottom"/>
            <w:hideMark/>
          </w:tcPr>
          <w:p w14:paraId="555511F1" w14:textId="615F85A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5</w:t>
            </w:r>
            <w:r w:rsidR="003D68C8" w:rsidRPr="002B2821">
              <w:rPr>
                <w:rFonts w:ascii="Calibri" w:hAnsi="Calibri" w:cs="Arial"/>
                <w:color w:val="000000"/>
                <w:lang w:eastAsia="en-GB"/>
              </w:rPr>
              <w:t>,11</w:t>
            </w:r>
            <w:r w:rsidRPr="002B2821">
              <w:rPr>
                <w:rFonts w:ascii="Calibri" w:hAnsi="Calibri" w:cs="Arial"/>
                <w:color w:val="000000"/>
                <w:lang w:eastAsia="en-GB"/>
              </w:rPr>
              <w:t xml:space="preserve"> </w:t>
            </w:r>
          </w:p>
        </w:tc>
        <w:tc>
          <w:tcPr>
            <w:tcW w:w="1465" w:type="dxa"/>
            <w:tcBorders>
              <w:top w:val="nil"/>
              <w:left w:val="nil"/>
              <w:bottom w:val="nil"/>
              <w:right w:val="nil"/>
            </w:tcBorders>
            <w:shd w:val="clear" w:color="auto" w:fill="auto"/>
            <w:noWrap/>
            <w:vAlign w:val="bottom"/>
            <w:hideMark/>
          </w:tcPr>
          <w:p w14:paraId="3B9E358D"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(18,752)</w:t>
            </w:r>
          </w:p>
        </w:tc>
        <w:tc>
          <w:tcPr>
            <w:tcW w:w="314" w:type="dxa"/>
            <w:tcBorders>
              <w:top w:val="nil"/>
              <w:left w:val="nil"/>
              <w:bottom w:val="nil"/>
              <w:right w:val="nil"/>
            </w:tcBorders>
            <w:shd w:val="clear" w:color="auto" w:fill="auto"/>
            <w:noWrap/>
            <w:vAlign w:val="bottom"/>
            <w:hideMark/>
          </w:tcPr>
          <w:p w14:paraId="3F792462"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575AC5A"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(10,471)</w:t>
            </w:r>
          </w:p>
        </w:tc>
        <w:tc>
          <w:tcPr>
            <w:tcW w:w="299" w:type="dxa"/>
            <w:tcBorders>
              <w:top w:val="nil"/>
              <w:left w:val="nil"/>
              <w:bottom w:val="nil"/>
              <w:right w:val="nil"/>
            </w:tcBorders>
            <w:shd w:val="clear" w:color="auto" w:fill="auto"/>
            <w:noWrap/>
            <w:vAlign w:val="bottom"/>
            <w:hideMark/>
          </w:tcPr>
          <w:p w14:paraId="2E61CFFD"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7974E7D6"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(29,223)</w:t>
            </w:r>
          </w:p>
        </w:tc>
        <w:tc>
          <w:tcPr>
            <w:tcW w:w="359" w:type="dxa"/>
            <w:tcBorders>
              <w:top w:val="nil"/>
              <w:left w:val="nil"/>
              <w:bottom w:val="nil"/>
              <w:right w:val="nil"/>
            </w:tcBorders>
            <w:shd w:val="clear" w:color="auto" w:fill="auto"/>
            <w:noWrap/>
            <w:vAlign w:val="bottom"/>
            <w:hideMark/>
          </w:tcPr>
          <w:p w14:paraId="14EEEF2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2D59B975"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(55,785)</w:t>
            </w:r>
          </w:p>
        </w:tc>
        <w:tc>
          <w:tcPr>
            <w:tcW w:w="299" w:type="dxa"/>
            <w:tcBorders>
              <w:top w:val="nil"/>
              <w:left w:val="nil"/>
              <w:bottom w:val="nil"/>
              <w:right w:val="nil"/>
            </w:tcBorders>
            <w:shd w:val="clear" w:color="auto" w:fill="auto"/>
            <w:noWrap/>
            <w:vAlign w:val="bottom"/>
            <w:hideMark/>
          </w:tcPr>
          <w:p w14:paraId="662C94DE"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32393D62" w14:textId="77777777" w:rsidTr="00064EC4">
        <w:trPr>
          <w:trHeight w:val="270"/>
        </w:trPr>
        <w:tc>
          <w:tcPr>
            <w:tcW w:w="3365" w:type="dxa"/>
            <w:tcBorders>
              <w:top w:val="nil"/>
              <w:left w:val="nil"/>
              <w:bottom w:val="nil"/>
              <w:right w:val="nil"/>
            </w:tcBorders>
            <w:shd w:val="clear" w:color="auto" w:fill="auto"/>
            <w:noWrap/>
            <w:vAlign w:val="bottom"/>
            <w:hideMark/>
          </w:tcPr>
          <w:p w14:paraId="6627B293"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Net (decrease)/increase in </w:t>
            </w:r>
          </w:p>
        </w:tc>
        <w:tc>
          <w:tcPr>
            <w:tcW w:w="388" w:type="dxa"/>
            <w:tcBorders>
              <w:top w:val="nil"/>
              <w:left w:val="nil"/>
              <w:bottom w:val="nil"/>
              <w:right w:val="nil"/>
            </w:tcBorders>
            <w:shd w:val="clear" w:color="auto" w:fill="auto"/>
            <w:noWrap/>
            <w:vAlign w:val="bottom"/>
            <w:hideMark/>
          </w:tcPr>
          <w:p w14:paraId="1BFA99A1"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10,11</w:t>
            </w:r>
          </w:p>
        </w:tc>
        <w:tc>
          <w:tcPr>
            <w:tcW w:w="1465" w:type="dxa"/>
            <w:tcBorders>
              <w:top w:val="nil"/>
              <w:left w:val="nil"/>
              <w:bottom w:val="nil"/>
              <w:right w:val="nil"/>
            </w:tcBorders>
            <w:shd w:val="clear" w:color="auto" w:fill="auto"/>
            <w:noWrap/>
            <w:vAlign w:val="bottom"/>
            <w:hideMark/>
          </w:tcPr>
          <w:p w14:paraId="77E4825D"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(2,184)</w:t>
            </w:r>
          </w:p>
        </w:tc>
        <w:tc>
          <w:tcPr>
            <w:tcW w:w="314" w:type="dxa"/>
            <w:tcBorders>
              <w:top w:val="nil"/>
              <w:left w:val="nil"/>
              <w:bottom w:val="nil"/>
              <w:right w:val="nil"/>
            </w:tcBorders>
            <w:shd w:val="clear" w:color="auto" w:fill="auto"/>
            <w:noWrap/>
            <w:vAlign w:val="bottom"/>
            <w:hideMark/>
          </w:tcPr>
          <w:p w14:paraId="146A1190"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44308AD1"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p>
        </w:tc>
        <w:tc>
          <w:tcPr>
            <w:tcW w:w="299" w:type="dxa"/>
            <w:tcBorders>
              <w:top w:val="nil"/>
              <w:left w:val="nil"/>
              <w:bottom w:val="nil"/>
              <w:right w:val="nil"/>
            </w:tcBorders>
            <w:shd w:val="clear" w:color="auto" w:fill="auto"/>
            <w:noWrap/>
            <w:vAlign w:val="bottom"/>
            <w:hideMark/>
          </w:tcPr>
          <w:p w14:paraId="154A550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5FACFD54"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(2,184)</w:t>
            </w:r>
          </w:p>
        </w:tc>
        <w:tc>
          <w:tcPr>
            <w:tcW w:w="359" w:type="dxa"/>
            <w:tcBorders>
              <w:top w:val="nil"/>
              <w:left w:val="nil"/>
              <w:bottom w:val="nil"/>
              <w:right w:val="nil"/>
            </w:tcBorders>
            <w:shd w:val="clear" w:color="auto" w:fill="auto"/>
            <w:noWrap/>
            <w:vAlign w:val="bottom"/>
            <w:hideMark/>
          </w:tcPr>
          <w:p w14:paraId="0A7F6F2A"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55D84418"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250 </w:t>
            </w:r>
          </w:p>
        </w:tc>
        <w:tc>
          <w:tcPr>
            <w:tcW w:w="299" w:type="dxa"/>
            <w:tcBorders>
              <w:top w:val="nil"/>
              <w:left w:val="nil"/>
              <w:bottom w:val="nil"/>
              <w:right w:val="nil"/>
            </w:tcBorders>
            <w:shd w:val="clear" w:color="auto" w:fill="auto"/>
            <w:noWrap/>
            <w:vAlign w:val="bottom"/>
            <w:hideMark/>
          </w:tcPr>
          <w:p w14:paraId="64B94281"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11463CAD" w14:textId="77777777" w:rsidTr="00064EC4">
        <w:trPr>
          <w:trHeight w:val="270"/>
        </w:trPr>
        <w:tc>
          <w:tcPr>
            <w:tcW w:w="3365" w:type="dxa"/>
            <w:tcBorders>
              <w:top w:val="nil"/>
              <w:left w:val="nil"/>
              <w:bottom w:val="nil"/>
              <w:right w:val="nil"/>
            </w:tcBorders>
            <w:shd w:val="clear" w:color="auto" w:fill="auto"/>
            <w:noWrap/>
            <w:vAlign w:val="bottom"/>
            <w:hideMark/>
          </w:tcPr>
          <w:p w14:paraId="58F4AF5E"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Memorandum Account Balances</w:t>
            </w:r>
          </w:p>
        </w:tc>
        <w:tc>
          <w:tcPr>
            <w:tcW w:w="388" w:type="dxa"/>
            <w:tcBorders>
              <w:top w:val="nil"/>
              <w:left w:val="nil"/>
              <w:bottom w:val="nil"/>
              <w:right w:val="nil"/>
            </w:tcBorders>
            <w:shd w:val="clear" w:color="auto" w:fill="auto"/>
            <w:noWrap/>
            <w:vAlign w:val="bottom"/>
            <w:hideMark/>
          </w:tcPr>
          <w:p w14:paraId="3DF89007" w14:textId="77777777" w:rsidR="00064EC4" w:rsidRPr="002B2821" w:rsidRDefault="00064EC4" w:rsidP="00064EC4">
            <w:pPr>
              <w:spacing w:after="0" w:line="240" w:lineRule="auto"/>
              <w:rPr>
                <w:rFonts w:ascii="Calibri" w:hAnsi="Calibri" w:cs="Arial"/>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03BA1F15"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1647277F"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2C2F5D3"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4C5D6C74"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37167EF3"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7510FDD3"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27E687C8"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51F3CE82" w14:textId="77777777" w:rsidR="00064EC4" w:rsidRPr="002B2821" w:rsidRDefault="00064EC4" w:rsidP="00064EC4">
            <w:pPr>
              <w:spacing w:after="0" w:line="240" w:lineRule="auto"/>
              <w:rPr>
                <w:lang w:eastAsia="en-GB"/>
              </w:rPr>
            </w:pPr>
          </w:p>
        </w:tc>
      </w:tr>
      <w:tr w:rsidR="00064EC4" w:rsidRPr="002B2821" w14:paraId="4856A55E" w14:textId="77777777" w:rsidTr="00064EC4">
        <w:trPr>
          <w:trHeight w:val="270"/>
        </w:trPr>
        <w:tc>
          <w:tcPr>
            <w:tcW w:w="3365" w:type="dxa"/>
            <w:tcBorders>
              <w:top w:val="nil"/>
              <w:left w:val="nil"/>
              <w:bottom w:val="nil"/>
              <w:right w:val="nil"/>
            </w:tcBorders>
            <w:shd w:val="clear" w:color="auto" w:fill="auto"/>
            <w:noWrap/>
            <w:vAlign w:val="bottom"/>
            <w:hideMark/>
          </w:tcPr>
          <w:p w14:paraId="4E927E75" w14:textId="27FDA6D9" w:rsidR="00064EC4" w:rsidRPr="002B2821" w:rsidRDefault="003E0415"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Costs of </w:t>
            </w:r>
            <w:proofErr w:type="spellStart"/>
            <w:r w:rsidRPr="002B2821">
              <w:rPr>
                <w:rFonts w:ascii="Calibri" w:hAnsi="Calibri" w:cs="Arial"/>
                <w:color w:val="000000"/>
                <w:sz w:val="24"/>
                <w:szCs w:val="24"/>
                <w:lang w:eastAsia="en-GB"/>
              </w:rPr>
              <w:t>G</w:t>
            </w:r>
            <w:r w:rsidR="00064EC4" w:rsidRPr="002B2821">
              <w:rPr>
                <w:rFonts w:ascii="Calibri" w:hAnsi="Calibri" w:cs="Arial"/>
                <w:color w:val="000000"/>
                <w:sz w:val="24"/>
                <w:szCs w:val="24"/>
                <w:lang w:eastAsia="en-GB"/>
              </w:rPr>
              <w:t>rantmaking</w:t>
            </w:r>
            <w:proofErr w:type="spellEnd"/>
          </w:p>
        </w:tc>
        <w:tc>
          <w:tcPr>
            <w:tcW w:w="388" w:type="dxa"/>
            <w:tcBorders>
              <w:top w:val="nil"/>
              <w:left w:val="nil"/>
              <w:bottom w:val="nil"/>
              <w:right w:val="nil"/>
            </w:tcBorders>
            <w:shd w:val="clear" w:color="auto" w:fill="auto"/>
            <w:noWrap/>
            <w:vAlign w:val="bottom"/>
            <w:hideMark/>
          </w:tcPr>
          <w:p w14:paraId="650A1E86"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465" w:type="dxa"/>
            <w:tcBorders>
              <w:top w:val="nil"/>
              <w:left w:val="nil"/>
              <w:bottom w:val="nil"/>
              <w:right w:val="nil"/>
            </w:tcBorders>
            <w:shd w:val="clear" w:color="auto" w:fill="auto"/>
            <w:noWrap/>
            <w:vAlign w:val="bottom"/>
            <w:hideMark/>
          </w:tcPr>
          <w:p w14:paraId="5041FA95"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(86)</w:t>
            </w:r>
          </w:p>
        </w:tc>
        <w:tc>
          <w:tcPr>
            <w:tcW w:w="314" w:type="dxa"/>
            <w:tcBorders>
              <w:top w:val="nil"/>
              <w:left w:val="nil"/>
              <w:bottom w:val="nil"/>
              <w:right w:val="nil"/>
            </w:tcBorders>
            <w:shd w:val="clear" w:color="auto" w:fill="auto"/>
            <w:noWrap/>
            <w:vAlign w:val="bottom"/>
            <w:hideMark/>
          </w:tcPr>
          <w:p w14:paraId="0E37024B"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6F5FBAC1"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(79)</w:t>
            </w:r>
          </w:p>
        </w:tc>
        <w:tc>
          <w:tcPr>
            <w:tcW w:w="299" w:type="dxa"/>
            <w:tcBorders>
              <w:top w:val="nil"/>
              <w:left w:val="nil"/>
              <w:bottom w:val="nil"/>
              <w:right w:val="nil"/>
            </w:tcBorders>
            <w:shd w:val="clear" w:color="auto" w:fill="auto"/>
            <w:noWrap/>
            <w:vAlign w:val="bottom"/>
            <w:hideMark/>
          </w:tcPr>
          <w:p w14:paraId="468C7134"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14DFB1BC"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(165)</w:t>
            </w:r>
          </w:p>
        </w:tc>
        <w:tc>
          <w:tcPr>
            <w:tcW w:w="359" w:type="dxa"/>
            <w:tcBorders>
              <w:top w:val="nil"/>
              <w:left w:val="nil"/>
              <w:bottom w:val="nil"/>
              <w:right w:val="nil"/>
            </w:tcBorders>
            <w:shd w:val="clear" w:color="auto" w:fill="auto"/>
            <w:noWrap/>
            <w:vAlign w:val="bottom"/>
            <w:hideMark/>
          </w:tcPr>
          <w:p w14:paraId="64B2249B"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213327B3"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(199)</w:t>
            </w:r>
          </w:p>
        </w:tc>
        <w:tc>
          <w:tcPr>
            <w:tcW w:w="299" w:type="dxa"/>
            <w:tcBorders>
              <w:top w:val="nil"/>
              <w:left w:val="nil"/>
              <w:bottom w:val="nil"/>
              <w:right w:val="nil"/>
            </w:tcBorders>
            <w:shd w:val="clear" w:color="auto" w:fill="auto"/>
            <w:noWrap/>
            <w:vAlign w:val="bottom"/>
            <w:hideMark/>
          </w:tcPr>
          <w:p w14:paraId="4286CC41"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440E6778" w14:textId="77777777" w:rsidTr="00064EC4">
        <w:trPr>
          <w:trHeight w:val="270"/>
        </w:trPr>
        <w:tc>
          <w:tcPr>
            <w:tcW w:w="3365" w:type="dxa"/>
            <w:tcBorders>
              <w:top w:val="nil"/>
              <w:left w:val="nil"/>
              <w:bottom w:val="nil"/>
              <w:right w:val="nil"/>
            </w:tcBorders>
            <w:shd w:val="clear" w:color="auto" w:fill="auto"/>
            <w:noWrap/>
            <w:vAlign w:val="bottom"/>
            <w:hideMark/>
          </w:tcPr>
          <w:p w14:paraId="3F12D320" w14:textId="11D7584D" w:rsidR="00064EC4" w:rsidRPr="002B2821" w:rsidRDefault="00571339"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Beneficiary </w:t>
            </w:r>
            <w:r w:rsidR="00064EC4" w:rsidRPr="002B2821">
              <w:rPr>
                <w:rFonts w:ascii="Calibri" w:hAnsi="Calibri" w:cs="Arial"/>
                <w:color w:val="000000"/>
                <w:sz w:val="24"/>
                <w:szCs w:val="24"/>
                <w:lang w:eastAsia="en-GB"/>
              </w:rPr>
              <w:t>Support costs</w:t>
            </w:r>
          </w:p>
        </w:tc>
        <w:tc>
          <w:tcPr>
            <w:tcW w:w="388" w:type="dxa"/>
            <w:tcBorders>
              <w:top w:val="nil"/>
              <w:left w:val="nil"/>
              <w:bottom w:val="nil"/>
              <w:right w:val="nil"/>
            </w:tcBorders>
            <w:shd w:val="clear" w:color="auto" w:fill="auto"/>
            <w:noWrap/>
            <w:vAlign w:val="bottom"/>
            <w:hideMark/>
          </w:tcPr>
          <w:p w14:paraId="503A5382"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465" w:type="dxa"/>
            <w:tcBorders>
              <w:top w:val="nil"/>
              <w:left w:val="nil"/>
              <w:bottom w:val="nil"/>
              <w:right w:val="nil"/>
            </w:tcBorders>
            <w:shd w:val="clear" w:color="auto" w:fill="auto"/>
            <w:noWrap/>
            <w:vAlign w:val="bottom"/>
            <w:hideMark/>
          </w:tcPr>
          <w:p w14:paraId="68A276BE" w14:textId="7ED41840" w:rsidR="00064EC4" w:rsidRPr="002B2821" w:rsidRDefault="00064EC4" w:rsidP="009466A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(51</w:t>
            </w:r>
            <w:r w:rsidR="009466AD" w:rsidRPr="002B2821">
              <w:rPr>
                <w:rFonts w:ascii="Calibri" w:hAnsi="Calibri" w:cs="Arial"/>
                <w:b/>
                <w:bCs/>
                <w:color w:val="000000"/>
                <w:sz w:val="24"/>
                <w:szCs w:val="24"/>
                <w:lang w:eastAsia="en-GB"/>
              </w:rPr>
              <w:t>6</w:t>
            </w:r>
            <w:r w:rsidRPr="002B2821">
              <w:rPr>
                <w:rFonts w:ascii="Calibri" w:hAnsi="Calibri" w:cs="Arial"/>
                <w:b/>
                <w:bCs/>
                <w:color w:val="000000"/>
                <w:sz w:val="24"/>
                <w:szCs w:val="24"/>
                <w:lang w:eastAsia="en-GB"/>
              </w:rPr>
              <w:t>)</w:t>
            </w:r>
          </w:p>
        </w:tc>
        <w:tc>
          <w:tcPr>
            <w:tcW w:w="314" w:type="dxa"/>
            <w:tcBorders>
              <w:top w:val="nil"/>
              <w:left w:val="nil"/>
              <w:bottom w:val="nil"/>
              <w:right w:val="nil"/>
            </w:tcBorders>
            <w:shd w:val="clear" w:color="auto" w:fill="auto"/>
            <w:noWrap/>
            <w:vAlign w:val="bottom"/>
            <w:hideMark/>
          </w:tcPr>
          <w:p w14:paraId="3BB25308"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432824FC"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(216)</w:t>
            </w:r>
          </w:p>
        </w:tc>
        <w:tc>
          <w:tcPr>
            <w:tcW w:w="299" w:type="dxa"/>
            <w:tcBorders>
              <w:top w:val="nil"/>
              <w:left w:val="nil"/>
              <w:bottom w:val="nil"/>
              <w:right w:val="nil"/>
            </w:tcBorders>
            <w:shd w:val="clear" w:color="auto" w:fill="auto"/>
            <w:noWrap/>
            <w:vAlign w:val="bottom"/>
            <w:hideMark/>
          </w:tcPr>
          <w:p w14:paraId="761FB188"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38EAB461" w14:textId="33756794" w:rsidR="00064EC4" w:rsidRPr="002B2821" w:rsidRDefault="00064EC4" w:rsidP="009466A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(73</w:t>
            </w:r>
            <w:r w:rsidR="009466AD" w:rsidRPr="002B2821">
              <w:rPr>
                <w:rFonts w:ascii="Calibri" w:hAnsi="Calibri" w:cs="Arial"/>
                <w:b/>
                <w:bCs/>
                <w:color w:val="000000"/>
                <w:sz w:val="24"/>
                <w:szCs w:val="24"/>
                <w:lang w:eastAsia="en-GB"/>
              </w:rPr>
              <w:t>2</w:t>
            </w:r>
            <w:r w:rsidRPr="002B2821">
              <w:rPr>
                <w:rFonts w:ascii="Calibri" w:hAnsi="Calibri" w:cs="Arial"/>
                <w:b/>
                <w:bCs/>
                <w:color w:val="000000"/>
                <w:sz w:val="24"/>
                <w:szCs w:val="24"/>
                <w:lang w:eastAsia="en-GB"/>
              </w:rPr>
              <w:t>)</w:t>
            </w:r>
          </w:p>
        </w:tc>
        <w:tc>
          <w:tcPr>
            <w:tcW w:w="359" w:type="dxa"/>
            <w:tcBorders>
              <w:top w:val="nil"/>
              <w:left w:val="nil"/>
              <w:bottom w:val="nil"/>
              <w:right w:val="nil"/>
            </w:tcBorders>
            <w:shd w:val="clear" w:color="auto" w:fill="auto"/>
            <w:noWrap/>
            <w:vAlign w:val="bottom"/>
            <w:hideMark/>
          </w:tcPr>
          <w:p w14:paraId="1F16BE63"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4692AAF0"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(653)</w:t>
            </w:r>
          </w:p>
        </w:tc>
        <w:tc>
          <w:tcPr>
            <w:tcW w:w="299" w:type="dxa"/>
            <w:tcBorders>
              <w:top w:val="nil"/>
              <w:left w:val="nil"/>
              <w:bottom w:val="nil"/>
              <w:right w:val="nil"/>
            </w:tcBorders>
            <w:shd w:val="clear" w:color="auto" w:fill="auto"/>
            <w:noWrap/>
            <w:vAlign w:val="bottom"/>
            <w:hideMark/>
          </w:tcPr>
          <w:p w14:paraId="03B4A444"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7BBE9EC4" w14:textId="77777777" w:rsidTr="00064EC4">
        <w:trPr>
          <w:trHeight w:val="270"/>
        </w:trPr>
        <w:tc>
          <w:tcPr>
            <w:tcW w:w="3365" w:type="dxa"/>
            <w:tcBorders>
              <w:top w:val="nil"/>
              <w:left w:val="nil"/>
              <w:bottom w:val="nil"/>
              <w:right w:val="nil"/>
            </w:tcBorders>
            <w:shd w:val="clear" w:color="auto" w:fill="auto"/>
            <w:noWrap/>
            <w:vAlign w:val="bottom"/>
            <w:hideMark/>
          </w:tcPr>
          <w:p w14:paraId="77A44B38"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Other Costs</w:t>
            </w:r>
          </w:p>
        </w:tc>
        <w:tc>
          <w:tcPr>
            <w:tcW w:w="388" w:type="dxa"/>
            <w:tcBorders>
              <w:top w:val="nil"/>
              <w:left w:val="nil"/>
              <w:bottom w:val="nil"/>
              <w:right w:val="nil"/>
            </w:tcBorders>
            <w:shd w:val="clear" w:color="auto" w:fill="auto"/>
            <w:noWrap/>
            <w:vAlign w:val="bottom"/>
            <w:hideMark/>
          </w:tcPr>
          <w:p w14:paraId="74E6A15F"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465" w:type="dxa"/>
            <w:tcBorders>
              <w:top w:val="nil"/>
              <w:left w:val="nil"/>
              <w:bottom w:val="nil"/>
              <w:right w:val="nil"/>
            </w:tcBorders>
            <w:shd w:val="clear" w:color="auto" w:fill="auto"/>
            <w:noWrap/>
            <w:vAlign w:val="bottom"/>
            <w:hideMark/>
          </w:tcPr>
          <w:p w14:paraId="4EC9A76E" w14:textId="5EB40A32" w:rsidR="00064EC4" w:rsidRPr="002B2821" w:rsidRDefault="009466AD"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(199</w:t>
            </w:r>
            <w:r w:rsidR="00064EC4" w:rsidRPr="002B2821">
              <w:rPr>
                <w:rFonts w:ascii="Calibri" w:hAnsi="Calibri" w:cs="Arial"/>
                <w:b/>
                <w:bCs/>
                <w:color w:val="000000"/>
                <w:sz w:val="24"/>
                <w:szCs w:val="24"/>
                <w:lang w:eastAsia="en-GB"/>
              </w:rPr>
              <w:t>)</w:t>
            </w:r>
          </w:p>
        </w:tc>
        <w:tc>
          <w:tcPr>
            <w:tcW w:w="314" w:type="dxa"/>
            <w:tcBorders>
              <w:top w:val="nil"/>
              <w:left w:val="nil"/>
              <w:bottom w:val="nil"/>
              <w:right w:val="nil"/>
            </w:tcBorders>
            <w:shd w:val="clear" w:color="auto" w:fill="auto"/>
            <w:noWrap/>
            <w:vAlign w:val="bottom"/>
            <w:hideMark/>
          </w:tcPr>
          <w:p w14:paraId="292912C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7C26B1C"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(33)</w:t>
            </w:r>
          </w:p>
        </w:tc>
        <w:tc>
          <w:tcPr>
            <w:tcW w:w="299" w:type="dxa"/>
            <w:tcBorders>
              <w:top w:val="nil"/>
              <w:left w:val="nil"/>
              <w:bottom w:val="nil"/>
              <w:right w:val="nil"/>
            </w:tcBorders>
            <w:shd w:val="clear" w:color="auto" w:fill="auto"/>
            <w:noWrap/>
            <w:vAlign w:val="bottom"/>
            <w:hideMark/>
          </w:tcPr>
          <w:p w14:paraId="6893CC96"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091C9846" w14:textId="16D2D97A" w:rsidR="00064EC4" w:rsidRPr="002B2821" w:rsidRDefault="009466AD"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(232</w:t>
            </w:r>
            <w:r w:rsidR="00064EC4" w:rsidRPr="002B2821">
              <w:rPr>
                <w:rFonts w:ascii="Calibri" w:hAnsi="Calibri" w:cs="Arial"/>
                <w:b/>
                <w:bCs/>
                <w:color w:val="000000"/>
                <w:sz w:val="24"/>
                <w:szCs w:val="24"/>
                <w:lang w:eastAsia="en-GB"/>
              </w:rPr>
              <w:t>)</w:t>
            </w:r>
          </w:p>
        </w:tc>
        <w:tc>
          <w:tcPr>
            <w:tcW w:w="359" w:type="dxa"/>
            <w:tcBorders>
              <w:top w:val="nil"/>
              <w:left w:val="nil"/>
              <w:bottom w:val="nil"/>
              <w:right w:val="nil"/>
            </w:tcBorders>
            <w:shd w:val="clear" w:color="auto" w:fill="auto"/>
            <w:noWrap/>
            <w:vAlign w:val="bottom"/>
            <w:hideMark/>
          </w:tcPr>
          <w:p w14:paraId="290A599F"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0D1CF857"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(254)</w:t>
            </w:r>
          </w:p>
        </w:tc>
        <w:tc>
          <w:tcPr>
            <w:tcW w:w="299" w:type="dxa"/>
            <w:tcBorders>
              <w:top w:val="nil"/>
              <w:left w:val="nil"/>
              <w:bottom w:val="nil"/>
              <w:right w:val="nil"/>
            </w:tcBorders>
            <w:shd w:val="clear" w:color="auto" w:fill="auto"/>
            <w:noWrap/>
            <w:vAlign w:val="bottom"/>
            <w:hideMark/>
          </w:tcPr>
          <w:p w14:paraId="2B6FD156"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16E45CFB" w14:textId="77777777" w:rsidTr="00064EC4">
        <w:trPr>
          <w:trHeight w:val="270"/>
        </w:trPr>
        <w:tc>
          <w:tcPr>
            <w:tcW w:w="3365" w:type="dxa"/>
            <w:tcBorders>
              <w:top w:val="nil"/>
              <w:left w:val="nil"/>
              <w:bottom w:val="nil"/>
              <w:right w:val="nil"/>
            </w:tcBorders>
            <w:shd w:val="clear" w:color="auto" w:fill="auto"/>
            <w:noWrap/>
            <w:vAlign w:val="bottom"/>
            <w:hideMark/>
          </w:tcPr>
          <w:p w14:paraId="5ADDACD4"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053C22F3"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6F158743"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27F2FE04"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007AFDA"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31F21437"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2EFE498A"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6C57F884"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05E5C170"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5A3AA54D" w14:textId="77777777" w:rsidR="00064EC4" w:rsidRPr="002B2821" w:rsidRDefault="00064EC4" w:rsidP="00064EC4">
            <w:pPr>
              <w:spacing w:after="0" w:line="240" w:lineRule="auto"/>
              <w:rPr>
                <w:lang w:eastAsia="en-GB"/>
              </w:rPr>
            </w:pPr>
          </w:p>
        </w:tc>
      </w:tr>
      <w:tr w:rsidR="00064EC4" w:rsidRPr="002B2821" w14:paraId="5E7064FE" w14:textId="77777777" w:rsidTr="00064EC4">
        <w:trPr>
          <w:trHeight w:val="270"/>
        </w:trPr>
        <w:tc>
          <w:tcPr>
            <w:tcW w:w="3365" w:type="dxa"/>
            <w:tcBorders>
              <w:top w:val="nil"/>
              <w:left w:val="nil"/>
              <w:bottom w:val="nil"/>
              <w:right w:val="nil"/>
            </w:tcBorders>
            <w:shd w:val="clear" w:color="auto" w:fill="auto"/>
            <w:noWrap/>
            <w:vAlign w:val="bottom"/>
            <w:hideMark/>
          </w:tcPr>
          <w:p w14:paraId="51CFD323"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Total</w:t>
            </w:r>
          </w:p>
        </w:tc>
        <w:tc>
          <w:tcPr>
            <w:tcW w:w="388" w:type="dxa"/>
            <w:tcBorders>
              <w:top w:val="nil"/>
              <w:left w:val="nil"/>
              <w:bottom w:val="nil"/>
              <w:right w:val="nil"/>
            </w:tcBorders>
            <w:shd w:val="clear" w:color="auto" w:fill="auto"/>
            <w:noWrap/>
            <w:vAlign w:val="bottom"/>
            <w:hideMark/>
          </w:tcPr>
          <w:p w14:paraId="2CE3CA45"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single" w:sz="4" w:space="0" w:color="000000"/>
              <w:left w:val="nil"/>
              <w:bottom w:val="single" w:sz="4" w:space="0" w:color="000000"/>
              <w:right w:val="nil"/>
            </w:tcBorders>
            <w:shd w:val="clear" w:color="auto" w:fill="auto"/>
            <w:noWrap/>
            <w:vAlign w:val="bottom"/>
            <w:hideMark/>
          </w:tcPr>
          <w:p w14:paraId="39D389C4"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(22,020)</w:t>
            </w:r>
          </w:p>
        </w:tc>
        <w:tc>
          <w:tcPr>
            <w:tcW w:w="314" w:type="dxa"/>
            <w:tcBorders>
              <w:top w:val="nil"/>
              <w:left w:val="nil"/>
              <w:bottom w:val="nil"/>
              <w:right w:val="nil"/>
            </w:tcBorders>
            <w:shd w:val="clear" w:color="auto" w:fill="auto"/>
            <w:noWrap/>
            <w:vAlign w:val="bottom"/>
            <w:hideMark/>
          </w:tcPr>
          <w:p w14:paraId="0358EFBC"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single" w:sz="4" w:space="0" w:color="000000"/>
              <w:left w:val="nil"/>
              <w:bottom w:val="single" w:sz="4" w:space="0" w:color="000000"/>
              <w:right w:val="nil"/>
            </w:tcBorders>
            <w:shd w:val="clear" w:color="auto" w:fill="auto"/>
            <w:noWrap/>
            <w:vAlign w:val="bottom"/>
            <w:hideMark/>
          </w:tcPr>
          <w:p w14:paraId="05F1B65F"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(10,800)</w:t>
            </w:r>
          </w:p>
        </w:tc>
        <w:tc>
          <w:tcPr>
            <w:tcW w:w="299" w:type="dxa"/>
            <w:tcBorders>
              <w:top w:val="nil"/>
              <w:left w:val="nil"/>
              <w:bottom w:val="nil"/>
              <w:right w:val="nil"/>
            </w:tcBorders>
            <w:shd w:val="clear" w:color="auto" w:fill="auto"/>
            <w:noWrap/>
            <w:vAlign w:val="bottom"/>
            <w:hideMark/>
          </w:tcPr>
          <w:p w14:paraId="24EE2165"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single" w:sz="4" w:space="0" w:color="000000"/>
              <w:left w:val="nil"/>
              <w:bottom w:val="single" w:sz="4" w:space="0" w:color="000000"/>
              <w:right w:val="nil"/>
            </w:tcBorders>
            <w:shd w:val="clear" w:color="auto" w:fill="auto"/>
            <w:noWrap/>
            <w:vAlign w:val="bottom"/>
            <w:hideMark/>
          </w:tcPr>
          <w:p w14:paraId="5E83F316"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(32,820)</w:t>
            </w:r>
          </w:p>
        </w:tc>
        <w:tc>
          <w:tcPr>
            <w:tcW w:w="359" w:type="dxa"/>
            <w:tcBorders>
              <w:top w:val="nil"/>
              <w:left w:val="nil"/>
              <w:bottom w:val="nil"/>
              <w:right w:val="nil"/>
            </w:tcBorders>
            <w:shd w:val="clear" w:color="auto" w:fill="auto"/>
            <w:noWrap/>
            <w:vAlign w:val="bottom"/>
            <w:hideMark/>
          </w:tcPr>
          <w:p w14:paraId="07117334"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single" w:sz="4" w:space="0" w:color="000000"/>
              <w:left w:val="nil"/>
              <w:bottom w:val="single" w:sz="4" w:space="0" w:color="000000"/>
              <w:right w:val="nil"/>
            </w:tcBorders>
            <w:shd w:val="clear" w:color="auto" w:fill="auto"/>
            <w:noWrap/>
            <w:vAlign w:val="bottom"/>
            <w:hideMark/>
          </w:tcPr>
          <w:p w14:paraId="437D4E0F"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(57,016)</w:t>
            </w:r>
          </w:p>
        </w:tc>
        <w:tc>
          <w:tcPr>
            <w:tcW w:w="299" w:type="dxa"/>
            <w:tcBorders>
              <w:top w:val="nil"/>
              <w:left w:val="nil"/>
              <w:bottom w:val="nil"/>
              <w:right w:val="nil"/>
            </w:tcBorders>
            <w:shd w:val="clear" w:color="auto" w:fill="auto"/>
            <w:noWrap/>
            <w:vAlign w:val="bottom"/>
            <w:hideMark/>
          </w:tcPr>
          <w:p w14:paraId="392869D2"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28A00F6B" w14:textId="77777777" w:rsidTr="00064EC4">
        <w:trPr>
          <w:trHeight w:val="270"/>
        </w:trPr>
        <w:tc>
          <w:tcPr>
            <w:tcW w:w="3365" w:type="dxa"/>
            <w:tcBorders>
              <w:top w:val="nil"/>
              <w:left w:val="nil"/>
              <w:bottom w:val="nil"/>
              <w:right w:val="nil"/>
            </w:tcBorders>
            <w:shd w:val="clear" w:color="auto" w:fill="auto"/>
            <w:noWrap/>
            <w:vAlign w:val="bottom"/>
            <w:hideMark/>
          </w:tcPr>
          <w:p w14:paraId="18DF5DF6"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4C24593E"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2980862D"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42A84058"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BB93B32"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1C20D518"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329BAAB9"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18F14D1B"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7C27CCBD"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1DE656E3" w14:textId="77777777" w:rsidR="00064EC4" w:rsidRPr="002B2821" w:rsidRDefault="00064EC4" w:rsidP="00064EC4">
            <w:pPr>
              <w:spacing w:after="0" w:line="240" w:lineRule="auto"/>
              <w:rPr>
                <w:lang w:eastAsia="en-GB"/>
              </w:rPr>
            </w:pPr>
          </w:p>
        </w:tc>
      </w:tr>
      <w:tr w:rsidR="00064EC4" w:rsidRPr="002B2821" w14:paraId="24A8AC73" w14:textId="77777777" w:rsidTr="00064EC4">
        <w:trPr>
          <w:trHeight w:val="270"/>
        </w:trPr>
        <w:tc>
          <w:tcPr>
            <w:tcW w:w="3365" w:type="dxa"/>
            <w:tcBorders>
              <w:top w:val="nil"/>
              <w:left w:val="nil"/>
              <w:bottom w:val="nil"/>
              <w:right w:val="nil"/>
            </w:tcBorders>
            <w:shd w:val="clear" w:color="auto" w:fill="auto"/>
            <w:noWrap/>
            <w:vAlign w:val="bottom"/>
            <w:hideMark/>
          </w:tcPr>
          <w:p w14:paraId="1F7C4441" w14:textId="1A41A55B" w:rsidR="00064EC4" w:rsidRPr="002B2821" w:rsidRDefault="00064EC4" w:rsidP="00E16BD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Net gains</w:t>
            </w:r>
            <w:r w:rsidR="00E16BD9" w:rsidRPr="002B2821">
              <w:rPr>
                <w:rFonts w:ascii="Calibri" w:hAnsi="Calibri" w:cs="Arial"/>
                <w:color w:val="000000"/>
                <w:sz w:val="24"/>
                <w:szCs w:val="24"/>
                <w:lang w:eastAsia="en-GB"/>
              </w:rPr>
              <w:t xml:space="preserve"> </w:t>
            </w:r>
            <w:r w:rsidRPr="002B2821">
              <w:rPr>
                <w:rFonts w:ascii="Calibri" w:hAnsi="Calibri" w:cs="Arial"/>
                <w:color w:val="000000"/>
                <w:sz w:val="24"/>
                <w:szCs w:val="24"/>
                <w:lang w:eastAsia="en-GB"/>
              </w:rPr>
              <w:t>on investments</w:t>
            </w:r>
          </w:p>
        </w:tc>
        <w:tc>
          <w:tcPr>
            <w:tcW w:w="388" w:type="dxa"/>
            <w:tcBorders>
              <w:top w:val="nil"/>
              <w:left w:val="nil"/>
              <w:bottom w:val="nil"/>
              <w:right w:val="nil"/>
            </w:tcBorders>
            <w:shd w:val="clear" w:color="auto" w:fill="auto"/>
            <w:noWrap/>
            <w:vAlign w:val="bottom"/>
            <w:hideMark/>
          </w:tcPr>
          <w:p w14:paraId="7D5336EB"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1465" w:type="dxa"/>
            <w:tcBorders>
              <w:top w:val="nil"/>
              <w:left w:val="nil"/>
              <w:bottom w:val="nil"/>
              <w:right w:val="nil"/>
            </w:tcBorders>
            <w:shd w:val="clear" w:color="auto" w:fill="auto"/>
            <w:noWrap/>
            <w:vAlign w:val="bottom"/>
            <w:hideMark/>
          </w:tcPr>
          <w:p w14:paraId="7C6ED63F"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9,811 </w:t>
            </w:r>
          </w:p>
        </w:tc>
        <w:tc>
          <w:tcPr>
            <w:tcW w:w="314" w:type="dxa"/>
            <w:tcBorders>
              <w:top w:val="nil"/>
              <w:left w:val="nil"/>
              <w:bottom w:val="nil"/>
              <w:right w:val="nil"/>
            </w:tcBorders>
            <w:shd w:val="clear" w:color="auto" w:fill="auto"/>
            <w:noWrap/>
            <w:vAlign w:val="bottom"/>
            <w:hideMark/>
          </w:tcPr>
          <w:p w14:paraId="431E18E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74AE7D61" w14:textId="65099E4A" w:rsidR="00064EC4" w:rsidRPr="002B2821" w:rsidRDefault="006704BD" w:rsidP="006704B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064EC4" w:rsidRPr="002B2821">
              <w:rPr>
                <w:rFonts w:ascii="Calibri" w:hAnsi="Calibri" w:cs="Arial"/>
                <w:b/>
                <w:bCs/>
                <w:color w:val="000000"/>
                <w:sz w:val="24"/>
                <w:szCs w:val="24"/>
                <w:lang w:eastAsia="en-GB"/>
              </w:rPr>
              <w:t xml:space="preserve"> </w:t>
            </w:r>
          </w:p>
        </w:tc>
        <w:tc>
          <w:tcPr>
            <w:tcW w:w="299" w:type="dxa"/>
            <w:tcBorders>
              <w:top w:val="nil"/>
              <w:left w:val="nil"/>
              <w:bottom w:val="nil"/>
              <w:right w:val="nil"/>
            </w:tcBorders>
            <w:shd w:val="clear" w:color="auto" w:fill="auto"/>
            <w:noWrap/>
            <w:vAlign w:val="bottom"/>
            <w:hideMark/>
          </w:tcPr>
          <w:p w14:paraId="650CF12A"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3C8CCD12"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9,811 </w:t>
            </w:r>
          </w:p>
        </w:tc>
        <w:tc>
          <w:tcPr>
            <w:tcW w:w="359" w:type="dxa"/>
            <w:tcBorders>
              <w:top w:val="nil"/>
              <w:left w:val="nil"/>
              <w:bottom w:val="nil"/>
              <w:right w:val="nil"/>
            </w:tcBorders>
            <w:shd w:val="clear" w:color="auto" w:fill="auto"/>
            <w:noWrap/>
            <w:vAlign w:val="bottom"/>
            <w:hideMark/>
          </w:tcPr>
          <w:p w14:paraId="00A40C33"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3074C025"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13,933 </w:t>
            </w:r>
          </w:p>
        </w:tc>
        <w:tc>
          <w:tcPr>
            <w:tcW w:w="299" w:type="dxa"/>
            <w:tcBorders>
              <w:top w:val="nil"/>
              <w:left w:val="nil"/>
              <w:bottom w:val="nil"/>
              <w:right w:val="nil"/>
            </w:tcBorders>
            <w:shd w:val="clear" w:color="auto" w:fill="auto"/>
            <w:noWrap/>
            <w:vAlign w:val="bottom"/>
            <w:hideMark/>
          </w:tcPr>
          <w:p w14:paraId="09FC0717"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43F564A5" w14:textId="77777777" w:rsidTr="00064EC4">
        <w:trPr>
          <w:trHeight w:val="270"/>
        </w:trPr>
        <w:tc>
          <w:tcPr>
            <w:tcW w:w="3365" w:type="dxa"/>
            <w:tcBorders>
              <w:top w:val="nil"/>
              <w:left w:val="nil"/>
              <w:bottom w:val="nil"/>
              <w:right w:val="nil"/>
            </w:tcBorders>
            <w:shd w:val="clear" w:color="auto" w:fill="auto"/>
            <w:noWrap/>
            <w:vAlign w:val="bottom"/>
            <w:hideMark/>
          </w:tcPr>
          <w:p w14:paraId="75EC849D"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0DA87283"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123DC404"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6695784F"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0F356B02"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0F56EC51"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14B4A8EF"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71C19391"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2A470B1A"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0281ADCE" w14:textId="77777777" w:rsidR="00064EC4" w:rsidRPr="002B2821" w:rsidRDefault="00064EC4" w:rsidP="00064EC4">
            <w:pPr>
              <w:spacing w:after="0" w:line="240" w:lineRule="auto"/>
              <w:rPr>
                <w:lang w:eastAsia="en-GB"/>
              </w:rPr>
            </w:pPr>
          </w:p>
        </w:tc>
      </w:tr>
      <w:tr w:rsidR="00064EC4" w:rsidRPr="002B2821" w14:paraId="6278B6C8" w14:textId="77777777" w:rsidTr="00064EC4">
        <w:trPr>
          <w:trHeight w:val="270"/>
        </w:trPr>
        <w:tc>
          <w:tcPr>
            <w:tcW w:w="3365" w:type="dxa"/>
            <w:tcBorders>
              <w:top w:val="nil"/>
              <w:left w:val="nil"/>
              <w:bottom w:val="nil"/>
              <w:right w:val="nil"/>
            </w:tcBorders>
            <w:shd w:val="clear" w:color="auto" w:fill="auto"/>
            <w:noWrap/>
            <w:vAlign w:val="bottom"/>
            <w:hideMark/>
          </w:tcPr>
          <w:p w14:paraId="3822D93F" w14:textId="32698E0F" w:rsidR="00064EC4" w:rsidRPr="002B2821" w:rsidRDefault="00064EC4" w:rsidP="00E16BD9">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Net income </w:t>
            </w:r>
          </w:p>
        </w:tc>
        <w:tc>
          <w:tcPr>
            <w:tcW w:w="388" w:type="dxa"/>
            <w:tcBorders>
              <w:top w:val="nil"/>
              <w:left w:val="nil"/>
              <w:bottom w:val="nil"/>
              <w:right w:val="nil"/>
            </w:tcBorders>
            <w:shd w:val="clear" w:color="auto" w:fill="auto"/>
            <w:noWrap/>
            <w:vAlign w:val="bottom"/>
            <w:hideMark/>
          </w:tcPr>
          <w:p w14:paraId="2BF5256C"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single" w:sz="4" w:space="0" w:color="3C3C3C"/>
              <w:left w:val="nil"/>
              <w:bottom w:val="nil"/>
              <w:right w:val="nil"/>
            </w:tcBorders>
            <w:shd w:val="clear" w:color="auto" w:fill="auto"/>
            <w:noWrap/>
            <w:vAlign w:val="bottom"/>
            <w:hideMark/>
          </w:tcPr>
          <w:p w14:paraId="76A96A69"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4,941 </w:t>
            </w:r>
          </w:p>
        </w:tc>
        <w:tc>
          <w:tcPr>
            <w:tcW w:w="314" w:type="dxa"/>
            <w:tcBorders>
              <w:top w:val="nil"/>
              <w:left w:val="nil"/>
              <w:bottom w:val="nil"/>
              <w:right w:val="nil"/>
            </w:tcBorders>
            <w:shd w:val="clear" w:color="auto" w:fill="auto"/>
            <w:noWrap/>
            <w:vAlign w:val="bottom"/>
            <w:hideMark/>
          </w:tcPr>
          <w:p w14:paraId="5C64379A"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single" w:sz="4" w:space="0" w:color="3C3C3C"/>
              <w:left w:val="nil"/>
              <w:bottom w:val="nil"/>
              <w:right w:val="nil"/>
            </w:tcBorders>
            <w:shd w:val="clear" w:color="auto" w:fill="auto"/>
            <w:noWrap/>
            <w:vAlign w:val="bottom"/>
            <w:hideMark/>
          </w:tcPr>
          <w:p w14:paraId="0BB5F9B9"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149 </w:t>
            </w:r>
          </w:p>
        </w:tc>
        <w:tc>
          <w:tcPr>
            <w:tcW w:w="299" w:type="dxa"/>
            <w:tcBorders>
              <w:top w:val="nil"/>
              <w:left w:val="nil"/>
              <w:bottom w:val="nil"/>
              <w:right w:val="nil"/>
            </w:tcBorders>
            <w:shd w:val="clear" w:color="auto" w:fill="auto"/>
            <w:noWrap/>
            <w:vAlign w:val="bottom"/>
            <w:hideMark/>
          </w:tcPr>
          <w:p w14:paraId="5F39DB76"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single" w:sz="4" w:space="0" w:color="3C3C3C"/>
              <w:left w:val="nil"/>
              <w:bottom w:val="nil"/>
              <w:right w:val="nil"/>
            </w:tcBorders>
            <w:shd w:val="clear" w:color="auto" w:fill="auto"/>
            <w:noWrap/>
            <w:vAlign w:val="bottom"/>
            <w:hideMark/>
          </w:tcPr>
          <w:p w14:paraId="49A532FB"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5,090 </w:t>
            </w:r>
          </w:p>
        </w:tc>
        <w:tc>
          <w:tcPr>
            <w:tcW w:w="359" w:type="dxa"/>
            <w:tcBorders>
              <w:top w:val="nil"/>
              <w:left w:val="nil"/>
              <w:bottom w:val="nil"/>
              <w:right w:val="nil"/>
            </w:tcBorders>
            <w:shd w:val="clear" w:color="auto" w:fill="auto"/>
            <w:noWrap/>
            <w:vAlign w:val="bottom"/>
            <w:hideMark/>
          </w:tcPr>
          <w:p w14:paraId="61A19D5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single" w:sz="4" w:space="0" w:color="3C3C3C"/>
              <w:left w:val="nil"/>
              <w:bottom w:val="nil"/>
              <w:right w:val="nil"/>
            </w:tcBorders>
            <w:shd w:val="clear" w:color="auto" w:fill="auto"/>
            <w:noWrap/>
            <w:vAlign w:val="bottom"/>
            <w:hideMark/>
          </w:tcPr>
          <w:p w14:paraId="101E5B31"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9,142 </w:t>
            </w:r>
          </w:p>
        </w:tc>
        <w:tc>
          <w:tcPr>
            <w:tcW w:w="299" w:type="dxa"/>
            <w:tcBorders>
              <w:top w:val="nil"/>
              <w:left w:val="nil"/>
              <w:bottom w:val="nil"/>
              <w:right w:val="nil"/>
            </w:tcBorders>
            <w:shd w:val="clear" w:color="auto" w:fill="auto"/>
            <w:noWrap/>
            <w:vAlign w:val="bottom"/>
            <w:hideMark/>
          </w:tcPr>
          <w:p w14:paraId="779D23F0"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06A22059" w14:textId="77777777" w:rsidTr="00064EC4">
        <w:trPr>
          <w:trHeight w:val="270"/>
        </w:trPr>
        <w:tc>
          <w:tcPr>
            <w:tcW w:w="3365" w:type="dxa"/>
            <w:tcBorders>
              <w:top w:val="nil"/>
              <w:left w:val="nil"/>
              <w:bottom w:val="nil"/>
              <w:right w:val="nil"/>
            </w:tcBorders>
            <w:shd w:val="clear" w:color="auto" w:fill="auto"/>
            <w:noWrap/>
            <w:vAlign w:val="bottom"/>
            <w:hideMark/>
          </w:tcPr>
          <w:p w14:paraId="4C08F597"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0EC28105"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56DC4427"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5B2F73DE"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67CF479"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42BBA438"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3397BF27"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5F8D0798"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4069368C"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1F5E7B05" w14:textId="77777777" w:rsidR="00064EC4" w:rsidRPr="002B2821" w:rsidRDefault="00064EC4" w:rsidP="00064EC4">
            <w:pPr>
              <w:spacing w:after="0" w:line="240" w:lineRule="auto"/>
              <w:rPr>
                <w:lang w:eastAsia="en-GB"/>
              </w:rPr>
            </w:pPr>
          </w:p>
        </w:tc>
      </w:tr>
      <w:tr w:rsidR="00064EC4" w:rsidRPr="002B2821" w14:paraId="153F30C8" w14:textId="77777777" w:rsidTr="00064EC4">
        <w:trPr>
          <w:trHeight w:val="270"/>
        </w:trPr>
        <w:tc>
          <w:tcPr>
            <w:tcW w:w="3365" w:type="dxa"/>
            <w:tcBorders>
              <w:top w:val="nil"/>
              <w:left w:val="nil"/>
              <w:bottom w:val="nil"/>
              <w:right w:val="nil"/>
            </w:tcBorders>
            <w:shd w:val="clear" w:color="auto" w:fill="auto"/>
            <w:noWrap/>
            <w:vAlign w:val="bottom"/>
            <w:hideMark/>
          </w:tcPr>
          <w:p w14:paraId="14BFAC49"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Transfers between funds</w:t>
            </w:r>
          </w:p>
        </w:tc>
        <w:tc>
          <w:tcPr>
            <w:tcW w:w="388" w:type="dxa"/>
            <w:tcBorders>
              <w:top w:val="nil"/>
              <w:left w:val="nil"/>
              <w:bottom w:val="nil"/>
              <w:right w:val="nil"/>
            </w:tcBorders>
            <w:shd w:val="clear" w:color="auto" w:fill="auto"/>
            <w:noWrap/>
            <w:vAlign w:val="bottom"/>
            <w:hideMark/>
          </w:tcPr>
          <w:p w14:paraId="1841179B"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143359CC" w14:textId="50D04754" w:rsidR="00064EC4" w:rsidRPr="002B2821" w:rsidRDefault="006704BD" w:rsidP="006704B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314" w:type="dxa"/>
            <w:tcBorders>
              <w:top w:val="nil"/>
              <w:left w:val="nil"/>
              <w:bottom w:val="nil"/>
              <w:right w:val="nil"/>
            </w:tcBorders>
            <w:shd w:val="clear" w:color="auto" w:fill="auto"/>
            <w:noWrap/>
            <w:vAlign w:val="bottom"/>
            <w:hideMark/>
          </w:tcPr>
          <w:p w14:paraId="11089B56" w14:textId="77777777" w:rsidR="00064EC4" w:rsidRPr="002B2821" w:rsidRDefault="00064EC4" w:rsidP="00064EC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123BFCE0" w14:textId="693037A5" w:rsidR="00064EC4" w:rsidRPr="002B2821" w:rsidRDefault="006704BD"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99" w:type="dxa"/>
            <w:tcBorders>
              <w:top w:val="nil"/>
              <w:left w:val="nil"/>
              <w:bottom w:val="nil"/>
              <w:right w:val="nil"/>
            </w:tcBorders>
            <w:shd w:val="clear" w:color="auto" w:fill="auto"/>
            <w:noWrap/>
            <w:vAlign w:val="bottom"/>
            <w:hideMark/>
          </w:tcPr>
          <w:p w14:paraId="2260CD8E" w14:textId="77777777" w:rsidR="00064EC4" w:rsidRPr="002B2821" w:rsidRDefault="00064EC4" w:rsidP="00064EC4">
            <w:pPr>
              <w:spacing w:after="0" w:line="240" w:lineRule="auto"/>
              <w:jc w:val="right"/>
              <w:rPr>
                <w:rFonts w:ascii="Calibri" w:hAnsi="Calibri" w:cs="Arial"/>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76BA928E" w14:textId="47273D27" w:rsidR="00064EC4" w:rsidRPr="002B2821" w:rsidRDefault="006704BD"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p>
        </w:tc>
        <w:tc>
          <w:tcPr>
            <w:tcW w:w="359" w:type="dxa"/>
            <w:tcBorders>
              <w:top w:val="nil"/>
              <w:left w:val="nil"/>
              <w:bottom w:val="nil"/>
              <w:right w:val="nil"/>
            </w:tcBorders>
            <w:shd w:val="clear" w:color="auto" w:fill="auto"/>
            <w:noWrap/>
            <w:vAlign w:val="bottom"/>
            <w:hideMark/>
          </w:tcPr>
          <w:p w14:paraId="6E9546D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6FCBD702" w14:textId="0ECE3C67" w:rsidR="00064EC4" w:rsidRPr="002B2821" w:rsidRDefault="006704BD"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99" w:type="dxa"/>
            <w:tcBorders>
              <w:top w:val="nil"/>
              <w:left w:val="nil"/>
              <w:bottom w:val="nil"/>
              <w:right w:val="nil"/>
            </w:tcBorders>
            <w:shd w:val="clear" w:color="auto" w:fill="auto"/>
            <w:noWrap/>
            <w:vAlign w:val="bottom"/>
            <w:hideMark/>
          </w:tcPr>
          <w:p w14:paraId="7A046262"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7DE95615" w14:textId="77777777" w:rsidTr="00064EC4">
        <w:trPr>
          <w:trHeight w:val="270"/>
        </w:trPr>
        <w:tc>
          <w:tcPr>
            <w:tcW w:w="3365" w:type="dxa"/>
            <w:tcBorders>
              <w:top w:val="nil"/>
              <w:left w:val="nil"/>
              <w:bottom w:val="nil"/>
              <w:right w:val="nil"/>
            </w:tcBorders>
            <w:shd w:val="clear" w:color="auto" w:fill="auto"/>
            <w:noWrap/>
            <w:vAlign w:val="bottom"/>
            <w:hideMark/>
          </w:tcPr>
          <w:p w14:paraId="343F20C7"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74D94E01" w14:textId="77777777" w:rsidR="00064EC4" w:rsidRPr="002B2821" w:rsidRDefault="00064EC4" w:rsidP="00064EC4">
            <w:pPr>
              <w:spacing w:after="0" w:line="240" w:lineRule="auto"/>
              <w:rPr>
                <w:lang w:eastAsia="en-GB"/>
              </w:rPr>
            </w:pPr>
          </w:p>
        </w:tc>
        <w:tc>
          <w:tcPr>
            <w:tcW w:w="1465" w:type="dxa"/>
            <w:tcBorders>
              <w:top w:val="nil"/>
              <w:left w:val="nil"/>
              <w:bottom w:val="single" w:sz="4" w:space="0" w:color="000000"/>
              <w:right w:val="nil"/>
            </w:tcBorders>
            <w:shd w:val="clear" w:color="auto" w:fill="auto"/>
            <w:noWrap/>
            <w:vAlign w:val="bottom"/>
            <w:hideMark/>
          </w:tcPr>
          <w:p w14:paraId="4F9262CA"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314" w:type="dxa"/>
            <w:tcBorders>
              <w:top w:val="nil"/>
              <w:left w:val="nil"/>
              <w:bottom w:val="nil"/>
              <w:right w:val="nil"/>
            </w:tcBorders>
            <w:shd w:val="clear" w:color="auto" w:fill="auto"/>
            <w:noWrap/>
            <w:vAlign w:val="bottom"/>
            <w:hideMark/>
          </w:tcPr>
          <w:p w14:paraId="3DE4C4E9"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229" w:type="dxa"/>
            <w:tcBorders>
              <w:top w:val="nil"/>
              <w:left w:val="nil"/>
              <w:bottom w:val="single" w:sz="4" w:space="0" w:color="000000"/>
              <w:right w:val="nil"/>
            </w:tcBorders>
            <w:shd w:val="clear" w:color="auto" w:fill="auto"/>
            <w:noWrap/>
            <w:vAlign w:val="bottom"/>
            <w:hideMark/>
          </w:tcPr>
          <w:p w14:paraId="0C62FD35"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299" w:type="dxa"/>
            <w:tcBorders>
              <w:top w:val="nil"/>
              <w:left w:val="nil"/>
              <w:bottom w:val="nil"/>
              <w:right w:val="nil"/>
            </w:tcBorders>
            <w:shd w:val="clear" w:color="auto" w:fill="auto"/>
            <w:noWrap/>
            <w:vAlign w:val="bottom"/>
            <w:hideMark/>
          </w:tcPr>
          <w:p w14:paraId="4C989692"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315" w:type="dxa"/>
            <w:tcBorders>
              <w:top w:val="nil"/>
              <w:left w:val="nil"/>
              <w:bottom w:val="single" w:sz="4" w:space="0" w:color="000000"/>
              <w:right w:val="nil"/>
            </w:tcBorders>
            <w:shd w:val="clear" w:color="auto" w:fill="auto"/>
            <w:noWrap/>
            <w:vAlign w:val="bottom"/>
            <w:hideMark/>
          </w:tcPr>
          <w:p w14:paraId="14D54159"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359" w:type="dxa"/>
            <w:tcBorders>
              <w:top w:val="nil"/>
              <w:left w:val="nil"/>
              <w:bottom w:val="nil"/>
              <w:right w:val="nil"/>
            </w:tcBorders>
            <w:shd w:val="clear" w:color="auto" w:fill="auto"/>
            <w:noWrap/>
            <w:vAlign w:val="bottom"/>
            <w:hideMark/>
          </w:tcPr>
          <w:p w14:paraId="5438B2CC"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single" w:sz="4" w:space="0" w:color="000000"/>
              <w:right w:val="nil"/>
            </w:tcBorders>
            <w:shd w:val="clear" w:color="auto" w:fill="auto"/>
            <w:noWrap/>
            <w:vAlign w:val="bottom"/>
            <w:hideMark/>
          </w:tcPr>
          <w:p w14:paraId="1E30102E"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299" w:type="dxa"/>
            <w:tcBorders>
              <w:top w:val="nil"/>
              <w:left w:val="nil"/>
              <w:bottom w:val="nil"/>
              <w:right w:val="nil"/>
            </w:tcBorders>
            <w:shd w:val="clear" w:color="auto" w:fill="auto"/>
            <w:noWrap/>
            <w:vAlign w:val="bottom"/>
            <w:hideMark/>
          </w:tcPr>
          <w:p w14:paraId="34E986E9" w14:textId="77777777" w:rsidR="00064EC4" w:rsidRPr="002B2821" w:rsidRDefault="00064EC4" w:rsidP="00064EC4">
            <w:pPr>
              <w:spacing w:after="0" w:line="240" w:lineRule="auto"/>
              <w:rPr>
                <w:rFonts w:ascii="Calibri" w:hAnsi="Calibri" w:cs="Arial"/>
                <w:color w:val="000000"/>
                <w:sz w:val="24"/>
                <w:szCs w:val="24"/>
                <w:lang w:eastAsia="en-GB"/>
              </w:rPr>
            </w:pPr>
          </w:p>
        </w:tc>
      </w:tr>
      <w:tr w:rsidR="00064EC4" w:rsidRPr="002B2821" w14:paraId="34659159" w14:textId="77777777" w:rsidTr="00064EC4">
        <w:trPr>
          <w:trHeight w:val="270"/>
        </w:trPr>
        <w:tc>
          <w:tcPr>
            <w:tcW w:w="3365" w:type="dxa"/>
            <w:tcBorders>
              <w:top w:val="nil"/>
              <w:left w:val="nil"/>
              <w:bottom w:val="nil"/>
              <w:right w:val="nil"/>
            </w:tcBorders>
            <w:shd w:val="clear" w:color="auto" w:fill="auto"/>
            <w:noWrap/>
            <w:vAlign w:val="bottom"/>
            <w:hideMark/>
          </w:tcPr>
          <w:p w14:paraId="7B9861BB"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Net movement in funds</w:t>
            </w:r>
          </w:p>
        </w:tc>
        <w:tc>
          <w:tcPr>
            <w:tcW w:w="388" w:type="dxa"/>
            <w:tcBorders>
              <w:top w:val="nil"/>
              <w:left w:val="nil"/>
              <w:bottom w:val="nil"/>
              <w:right w:val="nil"/>
            </w:tcBorders>
            <w:shd w:val="clear" w:color="auto" w:fill="auto"/>
            <w:noWrap/>
            <w:vAlign w:val="bottom"/>
            <w:hideMark/>
          </w:tcPr>
          <w:p w14:paraId="1FEA37C0"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77697B1E"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4,941 </w:t>
            </w:r>
          </w:p>
        </w:tc>
        <w:tc>
          <w:tcPr>
            <w:tcW w:w="314" w:type="dxa"/>
            <w:tcBorders>
              <w:top w:val="nil"/>
              <w:left w:val="nil"/>
              <w:bottom w:val="nil"/>
              <w:right w:val="nil"/>
            </w:tcBorders>
            <w:shd w:val="clear" w:color="auto" w:fill="auto"/>
            <w:noWrap/>
            <w:vAlign w:val="bottom"/>
            <w:hideMark/>
          </w:tcPr>
          <w:p w14:paraId="24A51AD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6D03AE80"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149 </w:t>
            </w:r>
          </w:p>
        </w:tc>
        <w:tc>
          <w:tcPr>
            <w:tcW w:w="299" w:type="dxa"/>
            <w:tcBorders>
              <w:top w:val="nil"/>
              <w:left w:val="nil"/>
              <w:bottom w:val="nil"/>
              <w:right w:val="nil"/>
            </w:tcBorders>
            <w:shd w:val="clear" w:color="auto" w:fill="auto"/>
            <w:noWrap/>
            <w:vAlign w:val="bottom"/>
            <w:hideMark/>
          </w:tcPr>
          <w:p w14:paraId="414A6321"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5DC9C1ED"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5,090 </w:t>
            </w:r>
          </w:p>
        </w:tc>
        <w:tc>
          <w:tcPr>
            <w:tcW w:w="359" w:type="dxa"/>
            <w:tcBorders>
              <w:top w:val="nil"/>
              <w:left w:val="nil"/>
              <w:bottom w:val="nil"/>
              <w:right w:val="nil"/>
            </w:tcBorders>
            <w:shd w:val="clear" w:color="auto" w:fill="auto"/>
            <w:noWrap/>
            <w:vAlign w:val="bottom"/>
            <w:hideMark/>
          </w:tcPr>
          <w:p w14:paraId="2021923E"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42F412A4"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9,142 </w:t>
            </w:r>
          </w:p>
        </w:tc>
        <w:tc>
          <w:tcPr>
            <w:tcW w:w="299" w:type="dxa"/>
            <w:tcBorders>
              <w:top w:val="nil"/>
              <w:left w:val="nil"/>
              <w:bottom w:val="nil"/>
              <w:right w:val="nil"/>
            </w:tcBorders>
            <w:shd w:val="clear" w:color="auto" w:fill="auto"/>
            <w:noWrap/>
            <w:vAlign w:val="bottom"/>
            <w:hideMark/>
          </w:tcPr>
          <w:p w14:paraId="287BE74F"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7D8502E8" w14:textId="77777777" w:rsidTr="00064EC4">
        <w:trPr>
          <w:trHeight w:val="270"/>
        </w:trPr>
        <w:tc>
          <w:tcPr>
            <w:tcW w:w="3365" w:type="dxa"/>
            <w:tcBorders>
              <w:top w:val="nil"/>
              <w:left w:val="nil"/>
              <w:bottom w:val="nil"/>
              <w:right w:val="nil"/>
            </w:tcBorders>
            <w:shd w:val="clear" w:color="auto" w:fill="auto"/>
            <w:noWrap/>
            <w:vAlign w:val="bottom"/>
            <w:hideMark/>
          </w:tcPr>
          <w:p w14:paraId="3785E065" w14:textId="77777777" w:rsidR="00064EC4" w:rsidRPr="002B2821" w:rsidRDefault="00064EC4" w:rsidP="00064EC4">
            <w:pPr>
              <w:spacing w:after="0" w:line="240" w:lineRule="auto"/>
              <w:rPr>
                <w:lang w:eastAsia="en-GB"/>
              </w:rPr>
            </w:pPr>
          </w:p>
        </w:tc>
        <w:tc>
          <w:tcPr>
            <w:tcW w:w="388" w:type="dxa"/>
            <w:tcBorders>
              <w:top w:val="nil"/>
              <w:left w:val="nil"/>
              <w:bottom w:val="nil"/>
              <w:right w:val="nil"/>
            </w:tcBorders>
            <w:shd w:val="clear" w:color="auto" w:fill="auto"/>
            <w:noWrap/>
            <w:vAlign w:val="bottom"/>
            <w:hideMark/>
          </w:tcPr>
          <w:p w14:paraId="25FE4D19" w14:textId="77777777" w:rsidR="00064EC4" w:rsidRPr="002B2821" w:rsidRDefault="00064EC4" w:rsidP="00064EC4">
            <w:pPr>
              <w:spacing w:after="0" w:line="240" w:lineRule="auto"/>
              <w:rPr>
                <w:lang w:eastAsia="en-GB"/>
              </w:rPr>
            </w:pPr>
          </w:p>
        </w:tc>
        <w:tc>
          <w:tcPr>
            <w:tcW w:w="1465" w:type="dxa"/>
            <w:tcBorders>
              <w:top w:val="nil"/>
              <w:left w:val="nil"/>
              <w:bottom w:val="nil"/>
              <w:right w:val="nil"/>
            </w:tcBorders>
            <w:shd w:val="clear" w:color="auto" w:fill="auto"/>
            <w:noWrap/>
            <w:vAlign w:val="bottom"/>
            <w:hideMark/>
          </w:tcPr>
          <w:p w14:paraId="27E079B9"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69AA662D"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91EC07C"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3BCB43B7"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7FF1A82E"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74CDF1B5"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1BBE967B"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99FAB8C" w14:textId="77777777" w:rsidR="00064EC4" w:rsidRPr="002B2821" w:rsidRDefault="00064EC4" w:rsidP="00064EC4">
            <w:pPr>
              <w:spacing w:after="0" w:line="240" w:lineRule="auto"/>
              <w:rPr>
                <w:lang w:eastAsia="en-GB"/>
              </w:rPr>
            </w:pPr>
          </w:p>
        </w:tc>
      </w:tr>
      <w:tr w:rsidR="00064EC4" w:rsidRPr="002B2821" w14:paraId="01E198B3" w14:textId="77777777" w:rsidTr="00064EC4">
        <w:trPr>
          <w:trHeight w:val="270"/>
        </w:trPr>
        <w:tc>
          <w:tcPr>
            <w:tcW w:w="3365" w:type="dxa"/>
            <w:tcBorders>
              <w:top w:val="nil"/>
              <w:left w:val="nil"/>
              <w:bottom w:val="nil"/>
              <w:right w:val="nil"/>
            </w:tcBorders>
            <w:shd w:val="clear" w:color="auto" w:fill="auto"/>
            <w:noWrap/>
            <w:vAlign w:val="bottom"/>
            <w:hideMark/>
          </w:tcPr>
          <w:p w14:paraId="72CD7198"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Reconciliation of Funds</w:t>
            </w:r>
          </w:p>
        </w:tc>
        <w:tc>
          <w:tcPr>
            <w:tcW w:w="388" w:type="dxa"/>
            <w:tcBorders>
              <w:top w:val="nil"/>
              <w:left w:val="nil"/>
              <w:bottom w:val="nil"/>
              <w:right w:val="nil"/>
            </w:tcBorders>
            <w:shd w:val="clear" w:color="auto" w:fill="auto"/>
            <w:noWrap/>
            <w:vAlign w:val="bottom"/>
            <w:hideMark/>
          </w:tcPr>
          <w:p w14:paraId="4E8BC30A"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62C622FC"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6638FAE8"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2FE7C8F"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67FD5177"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7C2B220F"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1DC6A5DE"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68D5F868"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3A7A7E9" w14:textId="77777777" w:rsidR="00064EC4" w:rsidRPr="002B2821" w:rsidRDefault="00064EC4" w:rsidP="00064EC4">
            <w:pPr>
              <w:spacing w:after="0" w:line="240" w:lineRule="auto"/>
              <w:rPr>
                <w:lang w:eastAsia="en-GB"/>
              </w:rPr>
            </w:pPr>
          </w:p>
        </w:tc>
      </w:tr>
      <w:tr w:rsidR="00064EC4" w:rsidRPr="002B2821" w14:paraId="3ED0261E" w14:textId="77777777" w:rsidTr="00064EC4">
        <w:trPr>
          <w:trHeight w:val="270"/>
        </w:trPr>
        <w:tc>
          <w:tcPr>
            <w:tcW w:w="3365" w:type="dxa"/>
            <w:tcBorders>
              <w:top w:val="nil"/>
              <w:left w:val="nil"/>
              <w:bottom w:val="nil"/>
              <w:right w:val="nil"/>
            </w:tcBorders>
            <w:shd w:val="clear" w:color="auto" w:fill="auto"/>
            <w:noWrap/>
            <w:vAlign w:val="bottom"/>
            <w:hideMark/>
          </w:tcPr>
          <w:p w14:paraId="46ABB2AA"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Fund balances brought forward</w:t>
            </w:r>
          </w:p>
        </w:tc>
        <w:tc>
          <w:tcPr>
            <w:tcW w:w="388" w:type="dxa"/>
            <w:tcBorders>
              <w:top w:val="nil"/>
              <w:left w:val="nil"/>
              <w:bottom w:val="nil"/>
              <w:right w:val="nil"/>
            </w:tcBorders>
            <w:shd w:val="clear" w:color="auto" w:fill="auto"/>
            <w:noWrap/>
            <w:vAlign w:val="bottom"/>
            <w:hideMark/>
          </w:tcPr>
          <w:p w14:paraId="43F200F9"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465" w:type="dxa"/>
            <w:tcBorders>
              <w:top w:val="nil"/>
              <w:left w:val="nil"/>
              <w:bottom w:val="nil"/>
              <w:right w:val="nil"/>
            </w:tcBorders>
            <w:shd w:val="clear" w:color="auto" w:fill="auto"/>
            <w:noWrap/>
            <w:vAlign w:val="bottom"/>
            <w:hideMark/>
          </w:tcPr>
          <w:p w14:paraId="361C1970"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159,486 </w:t>
            </w:r>
          </w:p>
        </w:tc>
        <w:tc>
          <w:tcPr>
            <w:tcW w:w="314" w:type="dxa"/>
            <w:tcBorders>
              <w:top w:val="nil"/>
              <w:left w:val="nil"/>
              <w:bottom w:val="nil"/>
              <w:right w:val="nil"/>
            </w:tcBorders>
            <w:shd w:val="clear" w:color="auto" w:fill="auto"/>
            <w:noWrap/>
            <w:vAlign w:val="bottom"/>
            <w:hideMark/>
          </w:tcPr>
          <w:p w14:paraId="6F08B461"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BFCCD26"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(585)</w:t>
            </w:r>
          </w:p>
        </w:tc>
        <w:tc>
          <w:tcPr>
            <w:tcW w:w="299" w:type="dxa"/>
            <w:tcBorders>
              <w:top w:val="nil"/>
              <w:left w:val="nil"/>
              <w:bottom w:val="nil"/>
              <w:right w:val="nil"/>
            </w:tcBorders>
            <w:shd w:val="clear" w:color="auto" w:fill="auto"/>
            <w:noWrap/>
            <w:vAlign w:val="bottom"/>
            <w:hideMark/>
          </w:tcPr>
          <w:p w14:paraId="6C56F176"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nil"/>
              <w:left w:val="nil"/>
              <w:bottom w:val="nil"/>
              <w:right w:val="nil"/>
            </w:tcBorders>
            <w:shd w:val="clear" w:color="auto" w:fill="auto"/>
            <w:noWrap/>
            <w:vAlign w:val="bottom"/>
            <w:hideMark/>
          </w:tcPr>
          <w:p w14:paraId="5E7A20B8"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158,901 </w:t>
            </w:r>
          </w:p>
        </w:tc>
        <w:tc>
          <w:tcPr>
            <w:tcW w:w="359" w:type="dxa"/>
            <w:tcBorders>
              <w:top w:val="nil"/>
              <w:left w:val="nil"/>
              <w:bottom w:val="nil"/>
              <w:right w:val="nil"/>
            </w:tcBorders>
            <w:shd w:val="clear" w:color="auto" w:fill="auto"/>
            <w:noWrap/>
            <w:vAlign w:val="bottom"/>
            <w:hideMark/>
          </w:tcPr>
          <w:p w14:paraId="0E461F91"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nil"/>
              <w:left w:val="nil"/>
              <w:bottom w:val="nil"/>
              <w:right w:val="nil"/>
            </w:tcBorders>
            <w:shd w:val="clear" w:color="auto" w:fill="auto"/>
            <w:noWrap/>
            <w:vAlign w:val="bottom"/>
            <w:hideMark/>
          </w:tcPr>
          <w:p w14:paraId="3335C6A8"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149,759 </w:t>
            </w:r>
          </w:p>
        </w:tc>
        <w:tc>
          <w:tcPr>
            <w:tcW w:w="299" w:type="dxa"/>
            <w:tcBorders>
              <w:top w:val="nil"/>
              <w:left w:val="nil"/>
              <w:bottom w:val="nil"/>
              <w:right w:val="nil"/>
            </w:tcBorders>
            <w:shd w:val="clear" w:color="auto" w:fill="auto"/>
            <w:noWrap/>
            <w:vAlign w:val="bottom"/>
            <w:hideMark/>
          </w:tcPr>
          <w:p w14:paraId="3112F1B9"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766293C8" w14:textId="77777777" w:rsidTr="00064EC4">
        <w:trPr>
          <w:trHeight w:val="270"/>
        </w:trPr>
        <w:tc>
          <w:tcPr>
            <w:tcW w:w="3365" w:type="dxa"/>
            <w:tcBorders>
              <w:top w:val="nil"/>
              <w:left w:val="nil"/>
              <w:bottom w:val="nil"/>
              <w:right w:val="nil"/>
            </w:tcBorders>
            <w:shd w:val="clear" w:color="auto" w:fill="auto"/>
            <w:noWrap/>
            <w:vAlign w:val="bottom"/>
            <w:hideMark/>
          </w:tcPr>
          <w:p w14:paraId="5253138E" w14:textId="77777777" w:rsidR="00064EC4" w:rsidRPr="002B2821" w:rsidRDefault="00064EC4" w:rsidP="00064EC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1 October 2017/2016</w:t>
            </w:r>
          </w:p>
        </w:tc>
        <w:tc>
          <w:tcPr>
            <w:tcW w:w="388" w:type="dxa"/>
            <w:tcBorders>
              <w:top w:val="nil"/>
              <w:left w:val="nil"/>
              <w:bottom w:val="nil"/>
              <w:right w:val="nil"/>
            </w:tcBorders>
            <w:shd w:val="clear" w:color="auto" w:fill="auto"/>
            <w:noWrap/>
            <w:vAlign w:val="bottom"/>
            <w:hideMark/>
          </w:tcPr>
          <w:p w14:paraId="58221370" w14:textId="77777777" w:rsidR="00064EC4" w:rsidRPr="002B2821" w:rsidRDefault="00064EC4" w:rsidP="00064EC4">
            <w:pPr>
              <w:spacing w:after="0" w:line="240" w:lineRule="auto"/>
              <w:rPr>
                <w:rFonts w:ascii="Calibri" w:hAnsi="Calibri" w:cs="Arial"/>
                <w:color w:val="000000"/>
                <w:sz w:val="24"/>
                <w:szCs w:val="24"/>
                <w:lang w:eastAsia="en-GB"/>
              </w:rPr>
            </w:pPr>
          </w:p>
        </w:tc>
        <w:tc>
          <w:tcPr>
            <w:tcW w:w="1465" w:type="dxa"/>
            <w:tcBorders>
              <w:top w:val="nil"/>
              <w:left w:val="nil"/>
              <w:bottom w:val="nil"/>
              <w:right w:val="nil"/>
            </w:tcBorders>
            <w:shd w:val="clear" w:color="auto" w:fill="auto"/>
            <w:noWrap/>
            <w:vAlign w:val="bottom"/>
            <w:hideMark/>
          </w:tcPr>
          <w:p w14:paraId="2E509C43"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65877162" w14:textId="77777777" w:rsidR="00064EC4" w:rsidRPr="002B2821" w:rsidRDefault="00064EC4" w:rsidP="00064EC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18159B8A"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0FFCB5EF" w14:textId="77777777" w:rsidR="00064EC4" w:rsidRPr="002B2821" w:rsidRDefault="00064EC4" w:rsidP="00064EC4">
            <w:pPr>
              <w:spacing w:after="0" w:line="240" w:lineRule="auto"/>
              <w:rPr>
                <w:lang w:eastAsia="en-GB"/>
              </w:rPr>
            </w:pPr>
          </w:p>
        </w:tc>
        <w:tc>
          <w:tcPr>
            <w:tcW w:w="1315" w:type="dxa"/>
            <w:tcBorders>
              <w:top w:val="nil"/>
              <w:left w:val="nil"/>
              <w:bottom w:val="nil"/>
              <w:right w:val="nil"/>
            </w:tcBorders>
            <w:shd w:val="clear" w:color="auto" w:fill="auto"/>
            <w:noWrap/>
            <w:vAlign w:val="bottom"/>
            <w:hideMark/>
          </w:tcPr>
          <w:p w14:paraId="6CDC3929"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5789C198" w14:textId="77777777" w:rsidR="00064EC4" w:rsidRPr="002B2821" w:rsidRDefault="00064EC4" w:rsidP="00064EC4">
            <w:pPr>
              <w:spacing w:after="0" w:line="240" w:lineRule="auto"/>
              <w:jc w:val="right"/>
              <w:rPr>
                <w:lang w:eastAsia="en-GB"/>
              </w:rPr>
            </w:pPr>
          </w:p>
        </w:tc>
        <w:tc>
          <w:tcPr>
            <w:tcW w:w="1030" w:type="dxa"/>
            <w:tcBorders>
              <w:top w:val="nil"/>
              <w:left w:val="nil"/>
              <w:bottom w:val="nil"/>
              <w:right w:val="nil"/>
            </w:tcBorders>
            <w:shd w:val="clear" w:color="auto" w:fill="auto"/>
            <w:noWrap/>
            <w:vAlign w:val="bottom"/>
            <w:hideMark/>
          </w:tcPr>
          <w:p w14:paraId="5AD4CD0B"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30CAFD42" w14:textId="77777777" w:rsidR="00064EC4" w:rsidRPr="002B2821" w:rsidRDefault="00064EC4" w:rsidP="00064EC4">
            <w:pPr>
              <w:spacing w:after="0" w:line="240" w:lineRule="auto"/>
              <w:rPr>
                <w:lang w:eastAsia="en-GB"/>
              </w:rPr>
            </w:pPr>
          </w:p>
        </w:tc>
      </w:tr>
      <w:tr w:rsidR="00064EC4" w:rsidRPr="002B2821" w14:paraId="69C5D460" w14:textId="77777777" w:rsidTr="006A7367">
        <w:trPr>
          <w:trHeight w:val="270"/>
        </w:trPr>
        <w:tc>
          <w:tcPr>
            <w:tcW w:w="3365" w:type="dxa"/>
            <w:tcBorders>
              <w:top w:val="nil"/>
              <w:left w:val="nil"/>
              <w:bottom w:val="nil"/>
              <w:right w:val="nil"/>
            </w:tcBorders>
            <w:shd w:val="clear" w:color="auto" w:fill="auto"/>
            <w:noWrap/>
            <w:vAlign w:val="bottom"/>
            <w:hideMark/>
          </w:tcPr>
          <w:p w14:paraId="3ECC5272"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Fund balances carried forward</w:t>
            </w:r>
          </w:p>
        </w:tc>
        <w:tc>
          <w:tcPr>
            <w:tcW w:w="388" w:type="dxa"/>
            <w:tcBorders>
              <w:top w:val="nil"/>
              <w:left w:val="nil"/>
              <w:bottom w:val="nil"/>
              <w:right w:val="nil"/>
            </w:tcBorders>
            <w:shd w:val="clear" w:color="auto" w:fill="auto"/>
            <w:noWrap/>
            <w:vAlign w:val="bottom"/>
            <w:hideMark/>
          </w:tcPr>
          <w:p w14:paraId="3F83C3BE" w14:textId="77777777" w:rsidR="00064EC4" w:rsidRPr="002B2821" w:rsidRDefault="00064EC4" w:rsidP="00064EC4">
            <w:pPr>
              <w:spacing w:after="0" w:line="240" w:lineRule="auto"/>
              <w:rPr>
                <w:rFonts w:ascii="Calibri" w:hAnsi="Calibri" w:cs="Arial"/>
                <w:b/>
                <w:bCs/>
                <w:color w:val="000000"/>
                <w:sz w:val="24"/>
                <w:szCs w:val="24"/>
                <w:lang w:eastAsia="en-GB"/>
              </w:rPr>
            </w:pPr>
          </w:p>
        </w:tc>
        <w:tc>
          <w:tcPr>
            <w:tcW w:w="1465" w:type="dxa"/>
            <w:tcBorders>
              <w:top w:val="nil"/>
              <w:left w:val="nil"/>
              <w:bottom w:val="single" w:sz="4" w:space="0" w:color="auto"/>
              <w:right w:val="nil"/>
            </w:tcBorders>
            <w:shd w:val="clear" w:color="auto" w:fill="auto"/>
            <w:noWrap/>
            <w:vAlign w:val="bottom"/>
            <w:hideMark/>
          </w:tcPr>
          <w:p w14:paraId="3CF9322E" w14:textId="77777777" w:rsidR="00064EC4" w:rsidRPr="002B2821" w:rsidRDefault="00064EC4" w:rsidP="00064EC4">
            <w:pPr>
              <w:spacing w:after="0" w:line="240" w:lineRule="auto"/>
              <w:jc w:val="center"/>
              <w:rPr>
                <w:lang w:eastAsia="en-GB"/>
              </w:rPr>
            </w:pPr>
          </w:p>
        </w:tc>
        <w:tc>
          <w:tcPr>
            <w:tcW w:w="314" w:type="dxa"/>
            <w:tcBorders>
              <w:top w:val="nil"/>
              <w:left w:val="nil"/>
              <w:bottom w:val="nil"/>
              <w:right w:val="nil"/>
            </w:tcBorders>
            <w:shd w:val="clear" w:color="auto" w:fill="auto"/>
            <w:noWrap/>
            <w:vAlign w:val="bottom"/>
            <w:hideMark/>
          </w:tcPr>
          <w:p w14:paraId="3F06E69A" w14:textId="77777777" w:rsidR="00064EC4" w:rsidRPr="002B2821" w:rsidRDefault="00064EC4" w:rsidP="00064EC4">
            <w:pPr>
              <w:spacing w:after="0" w:line="240" w:lineRule="auto"/>
              <w:rPr>
                <w:lang w:eastAsia="en-GB"/>
              </w:rPr>
            </w:pPr>
          </w:p>
        </w:tc>
        <w:tc>
          <w:tcPr>
            <w:tcW w:w="1229" w:type="dxa"/>
            <w:tcBorders>
              <w:top w:val="nil"/>
              <w:left w:val="nil"/>
              <w:bottom w:val="single" w:sz="4" w:space="0" w:color="auto"/>
              <w:right w:val="nil"/>
            </w:tcBorders>
            <w:shd w:val="clear" w:color="auto" w:fill="auto"/>
            <w:noWrap/>
            <w:vAlign w:val="bottom"/>
            <w:hideMark/>
          </w:tcPr>
          <w:p w14:paraId="06C97E43"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AFD7B6C" w14:textId="77777777" w:rsidR="00064EC4" w:rsidRPr="002B2821" w:rsidRDefault="00064EC4" w:rsidP="00064EC4">
            <w:pPr>
              <w:spacing w:after="0" w:line="240" w:lineRule="auto"/>
              <w:rPr>
                <w:lang w:eastAsia="en-GB"/>
              </w:rPr>
            </w:pPr>
          </w:p>
        </w:tc>
        <w:tc>
          <w:tcPr>
            <w:tcW w:w="1315" w:type="dxa"/>
            <w:tcBorders>
              <w:top w:val="nil"/>
              <w:left w:val="nil"/>
              <w:bottom w:val="single" w:sz="4" w:space="0" w:color="auto"/>
              <w:right w:val="nil"/>
            </w:tcBorders>
            <w:shd w:val="clear" w:color="auto" w:fill="auto"/>
            <w:noWrap/>
            <w:vAlign w:val="bottom"/>
            <w:hideMark/>
          </w:tcPr>
          <w:p w14:paraId="6974C914" w14:textId="77777777" w:rsidR="00064EC4" w:rsidRPr="002B2821" w:rsidRDefault="00064EC4" w:rsidP="00064EC4">
            <w:pPr>
              <w:spacing w:after="0" w:line="240" w:lineRule="auto"/>
              <w:rPr>
                <w:lang w:eastAsia="en-GB"/>
              </w:rPr>
            </w:pPr>
          </w:p>
        </w:tc>
        <w:tc>
          <w:tcPr>
            <w:tcW w:w="359" w:type="dxa"/>
            <w:tcBorders>
              <w:top w:val="nil"/>
              <w:left w:val="nil"/>
              <w:bottom w:val="nil"/>
              <w:right w:val="nil"/>
            </w:tcBorders>
            <w:shd w:val="clear" w:color="auto" w:fill="auto"/>
            <w:noWrap/>
            <w:vAlign w:val="bottom"/>
            <w:hideMark/>
          </w:tcPr>
          <w:p w14:paraId="4053055E" w14:textId="77777777" w:rsidR="00064EC4" w:rsidRPr="002B2821" w:rsidRDefault="00064EC4" w:rsidP="00064EC4">
            <w:pPr>
              <w:spacing w:after="0" w:line="240" w:lineRule="auto"/>
              <w:jc w:val="right"/>
              <w:rPr>
                <w:lang w:eastAsia="en-GB"/>
              </w:rPr>
            </w:pPr>
          </w:p>
        </w:tc>
        <w:tc>
          <w:tcPr>
            <w:tcW w:w="1030" w:type="dxa"/>
            <w:tcBorders>
              <w:top w:val="nil"/>
              <w:left w:val="nil"/>
              <w:bottom w:val="single" w:sz="4" w:space="0" w:color="auto"/>
              <w:right w:val="nil"/>
            </w:tcBorders>
            <w:shd w:val="clear" w:color="auto" w:fill="auto"/>
            <w:noWrap/>
            <w:vAlign w:val="bottom"/>
            <w:hideMark/>
          </w:tcPr>
          <w:p w14:paraId="4C01BFB7" w14:textId="77777777" w:rsidR="00064EC4" w:rsidRPr="002B2821" w:rsidRDefault="00064EC4" w:rsidP="00064EC4">
            <w:pPr>
              <w:spacing w:after="0" w:line="240" w:lineRule="auto"/>
              <w:rPr>
                <w:lang w:eastAsia="en-GB"/>
              </w:rPr>
            </w:pPr>
          </w:p>
        </w:tc>
        <w:tc>
          <w:tcPr>
            <w:tcW w:w="299" w:type="dxa"/>
            <w:tcBorders>
              <w:top w:val="nil"/>
              <w:left w:val="nil"/>
              <w:bottom w:val="nil"/>
              <w:right w:val="nil"/>
            </w:tcBorders>
            <w:shd w:val="clear" w:color="auto" w:fill="auto"/>
            <w:noWrap/>
            <w:vAlign w:val="bottom"/>
            <w:hideMark/>
          </w:tcPr>
          <w:p w14:paraId="7A249DC7" w14:textId="77777777" w:rsidR="00064EC4" w:rsidRPr="002B2821" w:rsidRDefault="00064EC4" w:rsidP="00064EC4">
            <w:pPr>
              <w:spacing w:after="0" w:line="240" w:lineRule="auto"/>
              <w:rPr>
                <w:lang w:eastAsia="en-GB"/>
              </w:rPr>
            </w:pPr>
          </w:p>
        </w:tc>
      </w:tr>
      <w:tr w:rsidR="00064EC4" w:rsidRPr="002B2821" w14:paraId="5CBB1C90" w14:textId="77777777" w:rsidTr="006A7367">
        <w:trPr>
          <w:trHeight w:val="270"/>
        </w:trPr>
        <w:tc>
          <w:tcPr>
            <w:tcW w:w="3365" w:type="dxa"/>
            <w:tcBorders>
              <w:top w:val="nil"/>
              <w:left w:val="nil"/>
              <w:bottom w:val="nil"/>
              <w:right w:val="nil"/>
            </w:tcBorders>
            <w:shd w:val="clear" w:color="auto" w:fill="auto"/>
            <w:noWrap/>
            <w:vAlign w:val="bottom"/>
            <w:hideMark/>
          </w:tcPr>
          <w:p w14:paraId="65715518" w14:textId="77777777" w:rsidR="00064EC4" w:rsidRPr="002B2821" w:rsidRDefault="00064EC4" w:rsidP="00064EC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at 30 September 2018/2017</w:t>
            </w:r>
          </w:p>
        </w:tc>
        <w:tc>
          <w:tcPr>
            <w:tcW w:w="388" w:type="dxa"/>
            <w:tcBorders>
              <w:top w:val="nil"/>
              <w:left w:val="nil"/>
              <w:bottom w:val="nil"/>
              <w:right w:val="nil"/>
            </w:tcBorders>
            <w:shd w:val="clear" w:color="auto" w:fill="auto"/>
            <w:noWrap/>
            <w:vAlign w:val="bottom"/>
            <w:hideMark/>
          </w:tcPr>
          <w:p w14:paraId="47DA5AFA" w14:textId="77777777" w:rsidR="00064EC4" w:rsidRPr="002B2821" w:rsidRDefault="00064EC4" w:rsidP="00064EC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465" w:type="dxa"/>
            <w:tcBorders>
              <w:top w:val="single" w:sz="4" w:space="0" w:color="auto"/>
              <w:left w:val="nil"/>
              <w:bottom w:val="single" w:sz="4" w:space="0" w:color="000000"/>
              <w:right w:val="nil"/>
            </w:tcBorders>
            <w:shd w:val="clear" w:color="auto" w:fill="auto"/>
            <w:noWrap/>
            <w:vAlign w:val="bottom"/>
            <w:hideMark/>
          </w:tcPr>
          <w:p w14:paraId="1EE0F9D2"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164,427 </w:t>
            </w:r>
          </w:p>
        </w:tc>
        <w:tc>
          <w:tcPr>
            <w:tcW w:w="314" w:type="dxa"/>
            <w:tcBorders>
              <w:top w:val="nil"/>
              <w:left w:val="nil"/>
              <w:bottom w:val="nil"/>
              <w:right w:val="nil"/>
            </w:tcBorders>
            <w:shd w:val="clear" w:color="auto" w:fill="auto"/>
            <w:noWrap/>
            <w:vAlign w:val="bottom"/>
            <w:hideMark/>
          </w:tcPr>
          <w:p w14:paraId="37DCAE54"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229" w:type="dxa"/>
            <w:tcBorders>
              <w:top w:val="single" w:sz="4" w:space="0" w:color="auto"/>
              <w:left w:val="nil"/>
              <w:bottom w:val="single" w:sz="4" w:space="0" w:color="000000"/>
              <w:right w:val="nil"/>
            </w:tcBorders>
            <w:shd w:val="clear" w:color="auto" w:fill="auto"/>
            <w:noWrap/>
            <w:vAlign w:val="bottom"/>
            <w:hideMark/>
          </w:tcPr>
          <w:p w14:paraId="28189978"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(436)</w:t>
            </w:r>
          </w:p>
        </w:tc>
        <w:tc>
          <w:tcPr>
            <w:tcW w:w="299" w:type="dxa"/>
            <w:tcBorders>
              <w:top w:val="nil"/>
              <w:left w:val="nil"/>
              <w:bottom w:val="nil"/>
              <w:right w:val="nil"/>
            </w:tcBorders>
            <w:shd w:val="clear" w:color="auto" w:fill="auto"/>
            <w:noWrap/>
            <w:vAlign w:val="bottom"/>
            <w:hideMark/>
          </w:tcPr>
          <w:p w14:paraId="52C458F9"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315" w:type="dxa"/>
            <w:tcBorders>
              <w:top w:val="single" w:sz="4" w:space="0" w:color="auto"/>
              <w:left w:val="nil"/>
              <w:bottom w:val="single" w:sz="4" w:space="0" w:color="000000"/>
              <w:right w:val="nil"/>
            </w:tcBorders>
            <w:shd w:val="clear" w:color="auto" w:fill="auto"/>
            <w:noWrap/>
            <w:vAlign w:val="bottom"/>
            <w:hideMark/>
          </w:tcPr>
          <w:p w14:paraId="51963421" w14:textId="77777777" w:rsidR="00064EC4" w:rsidRPr="002B2821" w:rsidRDefault="00064EC4" w:rsidP="00064EC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163,991 </w:t>
            </w:r>
          </w:p>
        </w:tc>
        <w:tc>
          <w:tcPr>
            <w:tcW w:w="359" w:type="dxa"/>
            <w:tcBorders>
              <w:top w:val="nil"/>
              <w:left w:val="nil"/>
              <w:bottom w:val="nil"/>
              <w:right w:val="nil"/>
            </w:tcBorders>
            <w:shd w:val="clear" w:color="auto" w:fill="auto"/>
            <w:noWrap/>
            <w:vAlign w:val="bottom"/>
            <w:hideMark/>
          </w:tcPr>
          <w:p w14:paraId="0A5AB081" w14:textId="77777777" w:rsidR="00064EC4" w:rsidRPr="002B2821" w:rsidRDefault="00064EC4" w:rsidP="00064EC4">
            <w:pPr>
              <w:spacing w:after="0" w:line="240" w:lineRule="auto"/>
              <w:jc w:val="right"/>
              <w:rPr>
                <w:rFonts w:ascii="Calibri" w:hAnsi="Calibri" w:cs="Arial"/>
                <w:b/>
                <w:bCs/>
                <w:color w:val="000000"/>
                <w:sz w:val="24"/>
                <w:szCs w:val="24"/>
                <w:lang w:eastAsia="en-GB"/>
              </w:rPr>
            </w:pPr>
          </w:p>
        </w:tc>
        <w:tc>
          <w:tcPr>
            <w:tcW w:w="1030" w:type="dxa"/>
            <w:tcBorders>
              <w:top w:val="single" w:sz="4" w:space="0" w:color="auto"/>
              <w:left w:val="nil"/>
              <w:bottom w:val="single" w:sz="4" w:space="0" w:color="000000"/>
              <w:right w:val="nil"/>
            </w:tcBorders>
            <w:shd w:val="clear" w:color="auto" w:fill="auto"/>
            <w:noWrap/>
            <w:vAlign w:val="bottom"/>
            <w:hideMark/>
          </w:tcPr>
          <w:p w14:paraId="54320886" w14:textId="77777777" w:rsidR="00064EC4" w:rsidRPr="002B2821" w:rsidRDefault="00064EC4" w:rsidP="00064EC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158,901 </w:t>
            </w:r>
          </w:p>
        </w:tc>
        <w:tc>
          <w:tcPr>
            <w:tcW w:w="299" w:type="dxa"/>
            <w:tcBorders>
              <w:top w:val="nil"/>
              <w:left w:val="nil"/>
              <w:bottom w:val="nil"/>
              <w:right w:val="nil"/>
            </w:tcBorders>
            <w:shd w:val="clear" w:color="auto" w:fill="auto"/>
            <w:noWrap/>
            <w:vAlign w:val="bottom"/>
            <w:hideMark/>
          </w:tcPr>
          <w:p w14:paraId="1E7DD758" w14:textId="77777777" w:rsidR="00064EC4" w:rsidRPr="002B2821" w:rsidRDefault="00064EC4" w:rsidP="00064EC4">
            <w:pPr>
              <w:spacing w:after="0" w:line="240" w:lineRule="auto"/>
              <w:jc w:val="right"/>
              <w:rPr>
                <w:rFonts w:ascii="Calibri" w:hAnsi="Calibri" w:cs="Arial"/>
                <w:color w:val="000000"/>
                <w:sz w:val="24"/>
                <w:szCs w:val="24"/>
                <w:lang w:eastAsia="en-GB"/>
              </w:rPr>
            </w:pPr>
          </w:p>
        </w:tc>
      </w:tr>
      <w:tr w:rsidR="00064EC4" w:rsidRPr="002B2821" w14:paraId="53E33B5E" w14:textId="77777777" w:rsidTr="002434AF">
        <w:trPr>
          <w:trHeight w:val="270"/>
        </w:trPr>
        <w:tc>
          <w:tcPr>
            <w:tcW w:w="3365" w:type="dxa"/>
            <w:tcBorders>
              <w:top w:val="nil"/>
              <w:left w:val="nil"/>
              <w:right w:val="nil"/>
            </w:tcBorders>
            <w:shd w:val="clear" w:color="auto" w:fill="auto"/>
            <w:noWrap/>
            <w:vAlign w:val="bottom"/>
            <w:hideMark/>
          </w:tcPr>
          <w:p w14:paraId="1143B91A" w14:textId="77777777" w:rsidR="00064EC4" w:rsidRPr="002B2821" w:rsidRDefault="00064EC4" w:rsidP="00064EC4">
            <w:pPr>
              <w:spacing w:after="0" w:line="240" w:lineRule="auto"/>
              <w:rPr>
                <w:lang w:eastAsia="en-GB"/>
              </w:rPr>
            </w:pPr>
          </w:p>
        </w:tc>
        <w:tc>
          <w:tcPr>
            <w:tcW w:w="388" w:type="dxa"/>
            <w:tcBorders>
              <w:top w:val="nil"/>
              <w:left w:val="nil"/>
              <w:right w:val="nil"/>
            </w:tcBorders>
            <w:shd w:val="clear" w:color="auto" w:fill="auto"/>
            <w:noWrap/>
            <w:vAlign w:val="bottom"/>
            <w:hideMark/>
          </w:tcPr>
          <w:p w14:paraId="6E20C66D" w14:textId="77777777" w:rsidR="00064EC4" w:rsidRPr="002B2821" w:rsidRDefault="00064EC4" w:rsidP="00064EC4">
            <w:pPr>
              <w:spacing w:after="0" w:line="240" w:lineRule="auto"/>
              <w:rPr>
                <w:lang w:eastAsia="en-GB"/>
              </w:rPr>
            </w:pPr>
          </w:p>
        </w:tc>
        <w:tc>
          <w:tcPr>
            <w:tcW w:w="1465" w:type="dxa"/>
            <w:tcBorders>
              <w:top w:val="nil"/>
              <w:left w:val="nil"/>
              <w:right w:val="nil"/>
            </w:tcBorders>
            <w:shd w:val="clear" w:color="auto" w:fill="auto"/>
            <w:noWrap/>
            <w:vAlign w:val="bottom"/>
            <w:hideMark/>
          </w:tcPr>
          <w:p w14:paraId="7A693556" w14:textId="77777777" w:rsidR="00064EC4" w:rsidRPr="002B2821" w:rsidRDefault="00064EC4" w:rsidP="00064EC4">
            <w:pPr>
              <w:spacing w:after="0" w:line="240" w:lineRule="auto"/>
              <w:jc w:val="center"/>
              <w:rPr>
                <w:lang w:eastAsia="en-GB"/>
              </w:rPr>
            </w:pPr>
          </w:p>
        </w:tc>
        <w:tc>
          <w:tcPr>
            <w:tcW w:w="314" w:type="dxa"/>
            <w:tcBorders>
              <w:top w:val="nil"/>
              <w:left w:val="nil"/>
              <w:right w:val="nil"/>
            </w:tcBorders>
            <w:shd w:val="clear" w:color="auto" w:fill="auto"/>
            <w:noWrap/>
            <w:vAlign w:val="bottom"/>
            <w:hideMark/>
          </w:tcPr>
          <w:p w14:paraId="31301A41" w14:textId="77777777" w:rsidR="00064EC4" w:rsidRPr="002B2821" w:rsidRDefault="00064EC4" w:rsidP="00064EC4">
            <w:pPr>
              <w:spacing w:after="0" w:line="240" w:lineRule="auto"/>
              <w:rPr>
                <w:lang w:eastAsia="en-GB"/>
              </w:rPr>
            </w:pPr>
          </w:p>
        </w:tc>
        <w:tc>
          <w:tcPr>
            <w:tcW w:w="1229" w:type="dxa"/>
            <w:tcBorders>
              <w:top w:val="nil"/>
              <w:left w:val="nil"/>
              <w:right w:val="nil"/>
            </w:tcBorders>
            <w:shd w:val="clear" w:color="auto" w:fill="auto"/>
            <w:noWrap/>
            <w:vAlign w:val="bottom"/>
            <w:hideMark/>
          </w:tcPr>
          <w:p w14:paraId="1D6C0CC0" w14:textId="77777777" w:rsidR="00064EC4" w:rsidRPr="002B2821" w:rsidRDefault="00064EC4" w:rsidP="00064EC4">
            <w:pPr>
              <w:spacing w:after="0" w:line="240" w:lineRule="auto"/>
              <w:rPr>
                <w:lang w:eastAsia="en-GB"/>
              </w:rPr>
            </w:pPr>
          </w:p>
        </w:tc>
        <w:tc>
          <w:tcPr>
            <w:tcW w:w="299" w:type="dxa"/>
            <w:tcBorders>
              <w:top w:val="nil"/>
              <w:left w:val="nil"/>
              <w:right w:val="nil"/>
            </w:tcBorders>
            <w:shd w:val="clear" w:color="auto" w:fill="auto"/>
            <w:noWrap/>
            <w:vAlign w:val="bottom"/>
            <w:hideMark/>
          </w:tcPr>
          <w:p w14:paraId="5531F31F" w14:textId="77777777" w:rsidR="00064EC4" w:rsidRPr="002B2821" w:rsidRDefault="00064EC4" w:rsidP="00064EC4">
            <w:pPr>
              <w:spacing w:after="0" w:line="240" w:lineRule="auto"/>
              <w:rPr>
                <w:lang w:eastAsia="en-GB"/>
              </w:rPr>
            </w:pPr>
          </w:p>
        </w:tc>
        <w:tc>
          <w:tcPr>
            <w:tcW w:w="1315" w:type="dxa"/>
            <w:tcBorders>
              <w:top w:val="nil"/>
              <w:left w:val="nil"/>
              <w:right w:val="nil"/>
            </w:tcBorders>
            <w:shd w:val="clear" w:color="auto" w:fill="auto"/>
            <w:noWrap/>
            <w:vAlign w:val="bottom"/>
            <w:hideMark/>
          </w:tcPr>
          <w:p w14:paraId="7848D023" w14:textId="77777777" w:rsidR="00064EC4" w:rsidRPr="002B2821" w:rsidRDefault="00064EC4" w:rsidP="00064EC4">
            <w:pPr>
              <w:spacing w:after="0" w:line="240" w:lineRule="auto"/>
              <w:rPr>
                <w:lang w:eastAsia="en-GB"/>
              </w:rPr>
            </w:pPr>
          </w:p>
        </w:tc>
        <w:tc>
          <w:tcPr>
            <w:tcW w:w="359" w:type="dxa"/>
            <w:tcBorders>
              <w:top w:val="nil"/>
              <w:left w:val="nil"/>
              <w:right w:val="nil"/>
            </w:tcBorders>
            <w:shd w:val="clear" w:color="auto" w:fill="auto"/>
            <w:noWrap/>
            <w:vAlign w:val="bottom"/>
            <w:hideMark/>
          </w:tcPr>
          <w:p w14:paraId="1C65D3CA" w14:textId="77777777" w:rsidR="00064EC4" w:rsidRPr="002B2821" w:rsidRDefault="00064EC4" w:rsidP="00064EC4">
            <w:pPr>
              <w:spacing w:after="0" w:line="240" w:lineRule="auto"/>
              <w:jc w:val="right"/>
              <w:rPr>
                <w:lang w:eastAsia="en-GB"/>
              </w:rPr>
            </w:pPr>
          </w:p>
        </w:tc>
        <w:tc>
          <w:tcPr>
            <w:tcW w:w="1030" w:type="dxa"/>
            <w:tcBorders>
              <w:top w:val="nil"/>
              <w:left w:val="nil"/>
              <w:right w:val="nil"/>
            </w:tcBorders>
            <w:shd w:val="clear" w:color="auto" w:fill="auto"/>
            <w:noWrap/>
            <w:vAlign w:val="bottom"/>
            <w:hideMark/>
          </w:tcPr>
          <w:p w14:paraId="097AB6A4" w14:textId="77777777" w:rsidR="00064EC4" w:rsidRPr="002B2821" w:rsidRDefault="00064EC4" w:rsidP="00064EC4">
            <w:pPr>
              <w:spacing w:after="0" w:line="240" w:lineRule="auto"/>
              <w:rPr>
                <w:lang w:eastAsia="en-GB"/>
              </w:rPr>
            </w:pPr>
          </w:p>
        </w:tc>
        <w:tc>
          <w:tcPr>
            <w:tcW w:w="299" w:type="dxa"/>
            <w:tcBorders>
              <w:top w:val="nil"/>
              <w:left w:val="nil"/>
              <w:right w:val="nil"/>
            </w:tcBorders>
            <w:shd w:val="clear" w:color="auto" w:fill="auto"/>
            <w:noWrap/>
            <w:vAlign w:val="bottom"/>
            <w:hideMark/>
          </w:tcPr>
          <w:p w14:paraId="43BD6547" w14:textId="77777777" w:rsidR="00064EC4" w:rsidRPr="002B2821" w:rsidRDefault="00064EC4" w:rsidP="00064EC4">
            <w:pPr>
              <w:spacing w:after="0" w:line="240" w:lineRule="auto"/>
              <w:rPr>
                <w:lang w:eastAsia="en-GB"/>
              </w:rPr>
            </w:pPr>
          </w:p>
        </w:tc>
      </w:tr>
      <w:tr w:rsidR="002434AF" w:rsidRPr="002B2821" w14:paraId="648F5884" w14:textId="77777777" w:rsidTr="002434AF">
        <w:trPr>
          <w:trHeight w:val="270"/>
        </w:trPr>
        <w:tc>
          <w:tcPr>
            <w:tcW w:w="3365" w:type="dxa"/>
            <w:tcBorders>
              <w:top w:val="nil"/>
              <w:left w:val="nil"/>
              <w:right w:val="nil"/>
            </w:tcBorders>
            <w:shd w:val="clear" w:color="auto" w:fill="auto"/>
            <w:noWrap/>
            <w:vAlign w:val="bottom"/>
          </w:tcPr>
          <w:p w14:paraId="15BAA938" w14:textId="77777777" w:rsidR="002434AF" w:rsidRPr="002B2821" w:rsidRDefault="002434AF" w:rsidP="00064EC4">
            <w:pPr>
              <w:spacing w:after="0" w:line="240" w:lineRule="auto"/>
              <w:rPr>
                <w:lang w:eastAsia="en-GB"/>
              </w:rPr>
            </w:pPr>
          </w:p>
        </w:tc>
        <w:tc>
          <w:tcPr>
            <w:tcW w:w="388" w:type="dxa"/>
            <w:tcBorders>
              <w:top w:val="nil"/>
              <w:left w:val="nil"/>
              <w:right w:val="nil"/>
            </w:tcBorders>
            <w:shd w:val="clear" w:color="auto" w:fill="auto"/>
            <w:noWrap/>
            <w:vAlign w:val="bottom"/>
          </w:tcPr>
          <w:p w14:paraId="34FA8C41" w14:textId="77777777" w:rsidR="002434AF" w:rsidRPr="002B2821" w:rsidRDefault="002434AF" w:rsidP="00064EC4">
            <w:pPr>
              <w:spacing w:after="0" w:line="240" w:lineRule="auto"/>
              <w:rPr>
                <w:lang w:eastAsia="en-GB"/>
              </w:rPr>
            </w:pPr>
          </w:p>
        </w:tc>
        <w:tc>
          <w:tcPr>
            <w:tcW w:w="1465" w:type="dxa"/>
            <w:tcBorders>
              <w:top w:val="nil"/>
              <w:left w:val="nil"/>
              <w:right w:val="nil"/>
            </w:tcBorders>
            <w:shd w:val="clear" w:color="auto" w:fill="auto"/>
            <w:noWrap/>
            <w:vAlign w:val="bottom"/>
          </w:tcPr>
          <w:p w14:paraId="0AE37B53" w14:textId="77777777" w:rsidR="002434AF" w:rsidRPr="002B2821" w:rsidRDefault="002434AF" w:rsidP="00064EC4">
            <w:pPr>
              <w:spacing w:after="0" w:line="240" w:lineRule="auto"/>
              <w:jc w:val="center"/>
              <w:rPr>
                <w:lang w:eastAsia="en-GB"/>
              </w:rPr>
            </w:pPr>
          </w:p>
        </w:tc>
        <w:tc>
          <w:tcPr>
            <w:tcW w:w="314" w:type="dxa"/>
            <w:tcBorders>
              <w:top w:val="nil"/>
              <w:left w:val="nil"/>
              <w:right w:val="nil"/>
            </w:tcBorders>
            <w:shd w:val="clear" w:color="auto" w:fill="auto"/>
            <w:noWrap/>
            <w:vAlign w:val="bottom"/>
          </w:tcPr>
          <w:p w14:paraId="53FECD3B" w14:textId="77777777" w:rsidR="002434AF" w:rsidRPr="002B2821" w:rsidRDefault="002434AF" w:rsidP="00064EC4">
            <w:pPr>
              <w:spacing w:after="0" w:line="240" w:lineRule="auto"/>
              <w:rPr>
                <w:lang w:eastAsia="en-GB"/>
              </w:rPr>
            </w:pPr>
          </w:p>
        </w:tc>
        <w:tc>
          <w:tcPr>
            <w:tcW w:w="1229" w:type="dxa"/>
            <w:tcBorders>
              <w:top w:val="nil"/>
              <w:left w:val="nil"/>
              <w:right w:val="nil"/>
            </w:tcBorders>
            <w:shd w:val="clear" w:color="auto" w:fill="auto"/>
            <w:noWrap/>
            <w:vAlign w:val="bottom"/>
          </w:tcPr>
          <w:p w14:paraId="71144578" w14:textId="77777777" w:rsidR="002434AF" w:rsidRPr="002B2821" w:rsidRDefault="002434AF" w:rsidP="00064EC4">
            <w:pPr>
              <w:spacing w:after="0" w:line="240" w:lineRule="auto"/>
              <w:rPr>
                <w:lang w:eastAsia="en-GB"/>
              </w:rPr>
            </w:pPr>
          </w:p>
        </w:tc>
        <w:tc>
          <w:tcPr>
            <w:tcW w:w="299" w:type="dxa"/>
            <w:tcBorders>
              <w:top w:val="nil"/>
              <w:left w:val="nil"/>
              <w:right w:val="nil"/>
            </w:tcBorders>
            <w:shd w:val="clear" w:color="auto" w:fill="auto"/>
            <w:noWrap/>
            <w:vAlign w:val="bottom"/>
          </w:tcPr>
          <w:p w14:paraId="31BA0228" w14:textId="77777777" w:rsidR="002434AF" w:rsidRPr="002B2821" w:rsidRDefault="002434AF" w:rsidP="00064EC4">
            <w:pPr>
              <w:spacing w:after="0" w:line="240" w:lineRule="auto"/>
              <w:rPr>
                <w:lang w:eastAsia="en-GB"/>
              </w:rPr>
            </w:pPr>
          </w:p>
        </w:tc>
        <w:tc>
          <w:tcPr>
            <w:tcW w:w="1315" w:type="dxa"/>
            <w:tcBorders>
              <w:top w:val="nil"/>
              <w:left w:val="nil"/>
              <w:right w:val="nil"/>
            </w:tcBorders>
            <w:shd w:val="clear" w:color="auto" w:fill="auto"/>
            <w:noWrap/>
            <w:vAlign w:val="bottom"/>
          </w:tcPr>
          <w:p w14:paraId="47F19238" w14:textId="77777777" w:rsidR="002434AF" w:rsidRPr="002B2821" w:rsidRDefault="002434AF" w:rsidP="00064EC4">
            <w:pPr>
              <w:spacing w:after="0" w:line="240" w:lineRule="auto"/>
              <w:rPr>
                <w:lang w:eastAsia="en-GB"/>
              </w:rPr>
            </w:pPr>
          </w:p>
        </w:tc>
        <w:tc>
          <w:tcPr>
            <w:tcW w:w="359" w:type="dxa"/>
            <w:tcBorders>
              <w:top w:val="nil"/>
              <w:left w:val="nil"/>
              <w:right w:val="nil"/>
            </w:tcBorders>
            <w:shd w:val="clear" w:color="auto" w:fill="auto"/>
            <w:noWrap/>
            <w:vAlign w:val="bottom"/>
          </w:tcPr>
          <w:p w14:paraId="19835872" w14:textId="77777777" w:rsidR="002434AF" w:rsidRPr="002B2821" w:rsidRDefault="002434AF" w:rsidP="00064EC4">
            <w:pPr>
              <w:spacing w:after="0" w:line="240" w:lineRule="auto"/>
              <w:jc w:val="right"/>
              <w:rPr>
                <w:lang w:eastAsia="en-GB"/>
              </w:rPr>
            </w:pPr>
          </w:p>
        </w:tc>
        <w:tc>
          <w:tcPr>
            <w:tcW w:w="1030" w:type="dxa"/>
            <w:tcBorders>
              <w:top w:val="nil"/>
              <w:left w:val="nil"/>
              <w:right w:val="nil"/>
            </w:tcBorders>
            <w:shd w:val="clear" w:color="auto" w:fill="auto"/>
            <w:noWrap/>
            <w:vAlign w:val="bottom"/>
          </w:tcPr>
          <w:p w14:paraId="5EE4C8AE" w14:textId="77777777" w:rsidR="002434AF" w:rsidRPr="002B2821" w:rsidRDefault="002434AF" w:rsidP="00064EC4">
            <w:pPr>
              <w:spacing w:after="0" w:line="240" w:lineRule="auto"/>
              <w:rPr>
                <w:lang w:eastAsia="en-GB"/>
              </w:rPr>
            </w:pPr>
          </w:p>
        </w:tc>
        <w:tc>
          <w:tcPr>
            <w:tcW w:w="299" w:type="dxa"/>
            <w:tcBorders>
              <w:top w:val="nil"/>
              <w:left w:val="nil"/>
              <w:right w:val="nil"/>
            </w:tcBorders>
            <w:shd w:val="clear" w:color="auto" w:fill="auto"/>
            <w:noWrap/>
            <w:vAlign w:val="bottom"/>
          </w:tcPr>
          <w:p w14:paraId="09F3AF0E" w14:textId="77777777" w:rsidR="002434AF" w:rsidRPr="002B2821" w:rsidRDefault="002434AF" w:rsidP="00064EC4">
            <w:pPr>
              <w:spacing w:after="0" w:line="240" w:lineRule="auto"/>
              <w:rPr>
                <w:lang w:eastAsia="en-GB"/>
              </w:rPr>
            </w:pPr>
          </w:p>
        </w:tc>
      </w:tr>
    </w:tbl>
    <w:p w14:paraId="21F347B5" w14:textId="77777777" w:rsidR="00BD17D6" w:rsidRPr="002B2821" w:rsidRDefault="00BD17D6" w:rsidP="00D2428F">
      <w:pPr>
        <w:pStyle w:val="Heading2"/>
        <w:rPr>
          <w:rFonts w:asciiTheme="minorHAnsi" w:hAnsiTheme="minorHAnsi" w:cs="Arial"/>
          <w:b w:val="0"/>
          <w:sz w:val="24"/>
          <w:szCs w:val="24"/>
        </w:rPr>
      </w:pPr>
    </w:p>
    <w:p w14:paraId="0D12BADB" w14:textId="06663185" w:rsidR="00FA061C" w:rsidRPr="002B2821" w:rsidRDefault="00B1587C" w:rsidP="00096730">
      <w:pPr>
        <w:pStyle w:val="Heading2"/>
        <w:spacing w:after="180" w:line="240" w:lineRule="auto"/>
        <w:ind w:left="-709"/>
        <w:rPr>
          <w:rFonts w:asciiTheme="minorHAnsi" w:hAnsiTheme="minorHAnsi" w:cs="Arial"/>
          <w:b w:val="0"/>
          <w:sz w:val="24"/>
          <w:szCs w:val="24"/>
        </w:rPr>
      </w:pPr>
      <w:r w:rsidRPr="002B2821">
        <w:rPr>
          <w:rFonts w:asciiTheme="minorHAnsi" w:hAnsiTheme="minorHAnsi" w:cs="Arial"/>
          <w:b w:val="0"/>
          <w:sz w:val="24"/>
          <w:szCs w:val="24"/>
        </w:rPr>
        <w:t>All activities are continuing.</w:t>
      </w:r>
      <w:r w:rsidR="00D2428F" w:rsidRPr="002B2821">
        <w:rPr>
          <w:rFonts w:asciiTheme="minorHAnsi" w:hAnsiTheme="minorHAnsi" w:cs="Arial"/>
          <w:b w:val="0"/>
          <w:sz w:val="24"/>
          <w:szCs w:val="24"/>
        </w:rPr>
        <w:t xml:space="preserve"> </w:t>
      </w:r>
      <w:r w:rsidR="00FA061C" w:rsidRPr="002B2821">
        <w:rPr>
          <w:rFonts w:asciiTheme="minorHAnsi" w:hAnsiTheme="minorHAnsi" w:cs="Arial"/>
          <w:b w:val="0"/>
          <w:sz w:val="24"/>
          <w:szCs w:val="24"/>
        </w:rPr>
        <w:t xml:space="preserve">All gains and losses recognised in the </w:t>
      </w:r>
      <w:r w:rsidR="00EF3537" w:rsidRPr="002B2821">
        <w:rPr>
          <w:rFonts w:asciiTheme="minorHAnsi" w:hAnsiTheme="minorHAnsi" w:cs="Arial"/>
          <w:b w:val="0"/>
          <w:sz w:val="24"/>
          <w:szCs w:val="24"/>
        </w:rPr>
        <w:t>year</w:t>
      </w:r>
      <w:r w:rsidR="00FA061C" w:rsidRPr="002B2821">
        <w:rPr>
          <w:rFonts w:asciiTheme="minorHAnsi" w:hAnsiTheme="minorHAnsi" w:cs="Arial"/>
          <w:b w:val="0"/>
          <w:sz w:val="24"/>
          <w:szCs w:val="24"/>
        </w:rPr>
        <w:t xml:space="preserve"> are included in the Statement of Financial A</w:t>
      </w:r>
      <w:r w:rsidR="00AE3568" w:rsidRPr="002B2821">
        <w:rPr>
          <w:rFonts w:asciiTheme="minorHAnsi" w:hAnsiTheme="minorHAnsi" w:cs="Arial"/>
          <w:b w:val="0"/>
          <w:sz w:val="24"/>
          <w:szCs w:val="24"/>
        </w:rPr>
        <w:t>ctivities</w:t>
      </w:r>
      <w:r w:rsidR="005C5BF4">
        <w:rPr>
          <w:rFonts w:asciiTheme="minorHAnsi" w:hAnsiTheme="minorHAnsi" w:cs="Arial"/>
          <w:b w:val="0"/>
          <w:sz w:val="24"/>
          <w:szCs w:val="24"/>
        </w:rPr>
        <w:t>.</w:t>
      </w:r>
    </w:p>
    <w:p w14:paraId="1A5B5A6F" w14:textId="43BD6DB3" w:rsidR="005B2099" w:rsidRPr="002B2821" w:rsidRDefault="005E45F3" w:rsidP="00096730">
      <w:pPr>
        <w:pStyle w:val="Heading2"/>
        <w:spacing w:line="240" w:lineRule="auto"/>
        <w:ind w:left="-709"/>
        <w:rPr>
          <w:rFonts w:asciiTheme="minorHAnsi" w:hAnsiTheme="minorHAnsi" w:cs="Arial"/>
          <w:b w:val="0"/>
          <w:sz w:val="24"/>
          <w:szCs w:val="24"/>
        </w:rPr>
      </w:pPr>
      <w:r w:rsidRPr="002B2821">
        <w:rPr>
          <w:rFonts w:asciiTheme="minorHAnsi" w:hAnsiTheme="minorHAnsi" w:cs="Arial"/>
          <w:b w:val="0"/>
          <w:sz w:val="24"/>
          <w:szCs w:val="24"/>
        </w:rPr>
        <w:t xml:space="preserve">There is no material difference between the outgoing resources for the financial </w:t>
      </w:r>
      <w:r w:rsidR="000034CE" w:rsidRPr="002B2821">
        <w:rPr>
          <w:rFonts w:asciiTheme="minorHAnsi" w:hAnsiTheme="minorHAnsi" w:cs="Arial"/>
          <w:b w:val="0"/>
          <w:sz w:val="24"/>
          <w:szCs w:val="24"/>
        </w:rPr>
        <w:t>y</w:t>
      </w:r>
      <w:r w:rsidR="00EF3537" w:rsidRPr="002B2821">
        <w:rPr>
          <w:rFonts w:asciiTheme="minorHAnsi" w:hAnsiTheme="minorHAnsi" w:cs="Arial"/>
          <w:b w:val="0"/>
          <w:sz w:val="24"/>
          <w:szCs w:val="24"/>
        </w:rPr>
        <w:t>ear</w:t>
      </w:r>
      <w:r w:rsidRPr="002B2821">
        <w:rPr>
          <w:rFonts w:asciiTheme="minorHAnsi" w:hAnsiTheme="minorHAnsi" w:cs="Arial"/>
          <w:b w:val="0"/>
          <w:sz w:val="24"/>
          <w:szCs w:val="24"/>
        </w:rPr>
        <w:t xml:space="preserve"> stated above and their historical cost equivalent.</w:t>
      </w:r>
    </w:p>
    <w:p w14:paraId="552633BC" w14:textId="77777777" w:rsidR="003F461B" w:rsidRPr="002B2821" w:rsidRDefault="003F461B" w:rsidP="003F461B">
      <w:pPr>
        <w:pStyle w:val="BodyText"/>
      </w:pPr>
    </w:p>
    <w:p w14:paraId="359B869E" w14:textId="77777777" w:rsidR="003F461B" w:rsidRPr="002B2821" w:rsidRDefault="003F461B" w:rsidP="003F461B">
      <w:pPr>
        <w:pStyle w:val="BodyText"/>
      </w:pPr>
    </w:p>
    <w:p w14:paraId="3DA91836" w14:textId="64E12257" w:rsidR="00B1587C" w:rsidRPr="002B2821" w:rsidRDefault="00B1587C" w:rsidP="00F91082">
      <w:pPr>
        <w:pStyle w:val="Heading1"/>
      </w:pPr>
      <w:bookmarkStart w:id="39" w:name="_Toc532990624"/>
      <w:r w:rsidRPr="002B2821">
        <w:lastRenderedPageBreak/>
        <w:t xml:space="preserve">Balance sheet as at </w:t>
      </w:r>
      <w:bookmarkEnd w:id="38"/>
      <w:r w:rsidR="00294408" w:rsidRPr="002B2821">
        <w:t xml:space="preserve">30 </w:t>
      </w:r>
      <w:r w:rsidR="006908D8" w:rsidRPr="002B2821">
        <w:t>September</w:t>
      </w:r>
      <w:r w:rsidR="00DB3254" w:rsidRPr="002B2821">
        <w:t xml:space="preserve"> 201</w:t>
      </w:r>
      <w:r w:rsidR="003E483D" w:rsidRPr="002B2821">
        <w:t>8</w:t>
      </w:r>
      <w:bookmarkEnd w:id="39"/>
    </w:p>
    <w:tbl>
      <w:tblPr>
        <w:tblW w:w="8929" w:type="dxa"/>
        <w:tblLook w:val="04A0" w:firstRow="1" w:lastRow="0" w:firstColumn="1" w:lastColumn="0" w:noHBand="0" w:noVBand="1"/>
      </w:tblPr>
      <w:tblGrid>
        <w:gridCol w:w="3924"/>
        <w:gridCol w:w="672"/>
        <w:gridCol w:w="1405"/>
        <w:gridCol w:w="521"/>
        <w:gridCol w:w="1457"/>
        <w:gridCol w:w="950"/>
      </w:tblGrid>
      <w:tr w:rsidR="003E483D" w:rsidRPr="002B2821" w14:paraId="5B925814" w14:textId="77777777" w:rsidTr="003E483D">
        <w:trPr>
          <w:trHeight w:val="315"/>
        </w:trPr>
        <w:tc>
          <w:tcPr>
            <w:tcW w:w="3924" w:type="dxa"/>
            <w:tcBorders>
              <w:top w:val="nil"/>
              <w:left w:val="nil"/>
              <w:bottom w:val="nil"/>
              <w:right w:val="nil"/>
            </w:tcBorders>
            <w:shd w:val="clear" w:color="auto" w:fill="auto"/>
            <w:noWrap/>
            <w:vAlign w:val="bottom"/>
            <w:hideMark/>
          </w:tcPr>
          <w:p w14:paraId="338B5DDC" w14:textId="77777777" w:rsidR="003E483D" w:rsidRPr="002B2821" w:rsidRDefault="003E483D" w:rsidP="003E483D">
            <w:pPr>
              <w:spacing w:after="0" w:line="240" w:lineRule="auto"/>
              <w:rPr>
                <w:sz w:val="24"/>
                <w:szCs w:val="24"/>
                <w:lang w:eastAsia="en-GB"/>
              </w:rPr>
            </w:pPr>
          </w:p>
        </w:tc>
        <w:tc>
          <w:tcPr>
            <w:tcW w:w="672" w:type="dxa"/>
            <w:tcBorders>
              <w:top w:val="nil"/>
              <w:left w:val="nil"/>
              <w:bottom w:val="nil"/>
              <w:right w:val="nil"/>
            </w:tcBorders>
            <w:shd w:val="clear" w:color="auto" w:fill="auto"/>
            <w:noWrap/>
            <w:vAlign w:val="bottom"/>
            <w:hideMark/>
          </w:tcPr>
          <w:p w14:paraId="049C9884"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0693C065" w14:textId="77777777" w:rsidR="003E483D" w:rsidRPr="002B2821" w:rsidRDefault="003E483D" w:rsidP="003E483D">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 Funds</w:t>
            </w:r>
          </w:p>
        </w:tc>
        <w:tc>
          <w:tcPr>
            <w:tcW w:w="521" w:type="dxa"/>
            <w:tcBorders>
              <w:top w:val="nil"/>
              <w:left w:val="nil"/>
              <w:bottom w:val="nil"/>
              <w:right w:val="nil"/>
            </w:tcBorders>
            <w:shd w:val="clear" w:color="auto" w:fill="auto"/>
            <w:noWrap/>
            <w:vAlign w:val="bottom"/>
            <w:hideMark/>
          </w:tcPr>
          <w:p w14:paraId="6D489E42" w14:textId="77777777" w:rsidR="003E483D" w:rsidRPr="002B2821" w:rsidRDefault="003E483D" w:rsidP="003E483D">
            <w:pPr>
              <w:spacing w:after="0" w:line="240" w:lineRule="auto"/>
              <w:jc w:val="center"/>
              <w:rPr>
                <w:rFonts w:ascii="Calibri" w:hAnsi="Calibri" w:cs="Arial"/>
                <w:b/>
                <w:bCs/>
                <w:color w:val="333399"/>
                <w:sz w:val="24"/>
                <w:szCs w:val="24"/>
                <w:lang w:eastAsia="en-GB"/>
              </w:rPr>
            </w:pPr>
          </w:p>
        </w:tc>
        <w:tc>
          <w:tcPr>
            <w:tcW w:w="1457" w:type="dxa"/>
            <w:tcBorders>
              <w:top w:val="nil"/>
              <w:left w:val="nil"/>
              <w:bottom w:val="nil"/>
              <w:right w:val="nil"/>
            </w:tcBorders>
            <w:shd w:val="clear" w:color="auto" w:fill="auto"/>
            <w:noWrap/>
            <w:vAlign w:val="bottom"/>
            <w:hideMark/>
          </w:tcPr>
          <w:p w14:paraId="15EC3354" w14:textId="77777777" w:rsidR="003E483D" w:rsidRPr="002B2821" w:rsidRDefault="003E483D" w:rsidP="003E483D">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Total Funds</w:t>
            </w:r>
          </w:p>
        </w:tc>
        <w:tc>
          <w:tcPr>
            <w:tcW w:w="950" w:type="dxa"/>
            <w:tcBorders>
              <w:top w:val="nil"/>
              <w:left w:val="nil"/>
              <w:bottom w:val="nil"/>
              <w:right w:val="nil"/>
            </w:tcBorders>
            <w:shd w:val="clear" w:color="auto" w:fill="auto"/>
            <w:noWrap/>
            <w:vAlign w:val="bottom"/>
            <w:hideMark/>
          </w:tcPr>
          <w:p w14:paraId="2179DFFB" w14:textId="77777777" w:rsidR="003E483D" w:rsidRPr="002B2821" w:rsidRDefault="003E483D" w:rsidP="003E483D">
            <w:pPr>
              <w:spacing w:after="0" w:line="240" w:lineRule="auto"/>
              <w:jc w:val="center"/>
              <w:rPr>
                <w:rFonts w:ascii="Calibri" w:hAnsi="Calibri" w:cs="Arial"/>
                <w:color w:val="333399"/>
                <w:sz w:val="24"/>
                <w:szCs w:val="24"/>
                <w:lang w:eastAsia="en-GB"/>
              </w:rPr>
            </w:pPr>
          </w:p>
        </w:tc>
      </w:tr>
      <w:tr w:rsidR="003E483D" w:rsidRPr="002B2821" w14:paraId="36E1EB9B" w14:textId="77777777" w:rsidTr="003E483D">
        <w:trPr>
          <w:trHeight w:val="315"/>
        </w:trPr>
        <w:tc>
          <w:tcPr>
            <w:tcW w:w="3924" w:type="dxa"/>
            <w:tcBorders>
              <w:top w:val="nil"/>
              <w:left w:val="nil"/>
              <w:bottom w:val="nil"/>
              <w:right w:val="nil"/>
            </w:tcBorders>
            <w:shd w:val="clear" w:color="auto" w:fill="auto"/>
            <w:noWrap/>
            <w:vAlign w:val="bottom"/>
            <w:hideMark/>
          </w:tcPr>
          <w:p w14:paraId="1849E470"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65CD691D"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144661DE" w14:textId="77777777" w:rsidR="003E483D" w:rsidRPr="002B2821" w:rsidRDefault="003E483D" w:rsidP="003E483D">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30/09/2018</w:t>
            </w:r>
          </w:p>
        </w:tc>
        <w:tc>
          <w:tcPr>
            <w:tcW w:w="521" w:type="dxa"/>
            <w:tcBorders>
              <w:top w:val="nil"/>
              <w:left w:val="nil"/>
              <w:bottom w:val="nil"/>
              <w:right w:val="nil"/>
            </w:tcBorders>
            <w:shd w:val="clear" w:color="auto" w:fill="auto"/>
            <w:noWrap/>
            <w:vAlign w:val="bottom"/>
            <w:hideMark/>
          </w:tcPr>
          <w:p w14:paraId="6B253D70" w14:textId="77777777" w:rsidR="003E483D" w:rsidRPr="002B2821" w:rsidRDefault="003E483D" w:rsidP="003E483D">
            <w:pPr>
              <w:spacing w:after="0" w:line="240" w:lineRule="auto"/>
              <w:jc w:val="center"/>
              <w:rPr>
                <w:rFonts w:ascii="Calibri" w:hAnsi="Calibri" w:cs="Arial"/>
                <w:b/>
                <w:bCs/>
                <w:color w:val="333399"/>
                <w:sz w:val="24"/>
                <w:szCs w:val="24"/>
                <w:lang w:eastAsia="en-GB"/>
              </w:rPr>
            </w:pPr>
          </w:p>
        </w:tc>
        <w:tc>
          <w:tcPr>
            <w:tcW w:w="1457" w:type="dxa"/>
            <w:tcBorders>
              <w:top w:val="nil"/>
              <w:left w:val="nil"/>
              <w:bottom w:val="nil"/>
              <w:right w:val="nil"/>
            </w:tcBorders>
            <w:shd w:val="clear" w:color="auto" w:fill="auto"/>
            <w:noWrap/>
            <w:vAlign w:val="bottom"/>
            <w:hideMark/>
          </w:tcPr>
          <w:p w14:paraId="0EB2EFF2" w14:textId="77777777" w:rsidR="003E483D" w:rsidRPr="002B2821" w:rsidRDefault="003E483D" w:rsidP="003E483D">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30/09/2017</w:t>
            </w:r>
          </w:p>
        </w:tc>
        <w:tc>
          <w:tcPr>
            <w:tcW w:w="950" w:type="dxa"/>
            <w:tcBorders>
              <w:top w:val="nil"/>
              <w:left w:val="nil"/>
              <w:bottom w:val="nil"/>
              <w:right w:val="nil"/>
            </w:tcBorders>
            <w:shd w:val="clear" w:color="auto" w:fill="auto"/>
            <w:noWrap/>
            <w:vAlign w:val="bottom"/>
            <w:hideMark/>
          </w:tcPr>
          <w:p w14:paraId="01ABCCF1" w14:textId="77777777" w:rsidR="003E483D" w:rsidRPr="002B2821" w:rsidRDefault="003E483D" w:rsidP="003E483D">
            <w:pPr>
              <w:spacing w:after="0" w:line="240" w:lineRule="auto"/>
              <w:jc w:val="center"/>
              <w:rPr>
                <w:rFonts w:ascii="Calibri" w:hAnsi="Calibri" w:cs="Arial"/>
                <w:color w:val="333399"/>
                <w:sz w:val="24"/>
                <w:szCs w:val="24"/>
                <w:lang w:eastAsia="en-GB"/>
              </w:rPr>
            </w:pPr>
          </w:p>
        </w:tc>
      </w:tr>
      <w:tr w:rsidR="003E483D" w:rsidRPr="002B2821" w14:paraId="75962EB7" w14:textId="77777777" w:rsidTr="003E483D">
        <w:trPr>
          <w:trHeight w:val="315"/>
        </w:trPr>
        <w:tc>
          <w:tcPr>
            <w:tcW w:w="3924" w:type="dxa"/>
            <w:tcBorders>
              <w:top w:val="nil"/>
              <w:left w:val="nil"/>
              <w:bottom w:val="nil"/>
              <w:right w:val="nil"/>
            </w:tcBorders>
            <w:shd w:val="clear" w:color="auto" w:fill="auto"/>
            <w:noWrap/>
            <w:vAlign w:val="bottom"/>
            <w:hideMark/>
          </w:tcPr>
          <w:p w14:paraId="141859AD"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05350D74"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5F51D92E" w14:textId="77777777" w:rsidR="003E483D" w:rsidRPr="002B2821" w:rsidRDefault="003E483D" w:rsidP="003E483D">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521" w:type="dxa"/>
            <w:tcBorders>
              <w:top w:val="nil"/>
              <w:left w:val="nil"/>
              <w:bottom w:val="nil"/>
              <w:right w:val="nil"/>
            </w:tcBorders>
            <w:shd w:val="clear" w:color="auto" w:fill="auto"/>
            <w:noWrap/>
            <w:vAlign w:val="bottom"/>
            <w:hideMark/>
          </w:tcPr>
          <w:p w14:paraId="6205A2D5" w14:textId="77777777" w:rsidR="003E483D" w:rsidRPr="002B2821" w:rsidRDefault="003E483D" w:rsidP="003E483D">
            <w:pPr>
              <w:spacing w:after="0" w:line="240" w:lineRule="auto"/>
              <w:jc w:val="center"/>
              <w:rPr>
                <w:rFonts w:ascii="Calibri" w:hAnsi="Calibri" w:cs="Arial"/>
                <w:b/>
                <w:bCs/>
                <w:color w:val="333399"/>
                <w:sz w:val="24"/>
                <w:szCs w:val="24"/>
                <w:lang w:eastAsia="en-GB"/>
              </w:rPr>
            </w:pPr>
          </w:p>
        </w:tc>
        <w:tc>
          <w:tcPr>
            <w:tcW w:w="1457" w:type="dxa"/>
            <w:tcBorders>
              <w:top w:val="nil"/>
              <w:left w:val="nil"/>
              <w:bottom w:val="nil"/>
              <w:right w:val="nil"/>
            </w:tcBorders>
            <w:shd w:val="clear" w:color="auto" w:fill="auto"/>
            <w:noWrap/>
            <w:vAlign w:val="bottom"/>
            <w:hideMark/>
          </w:tcPr>
          <w:p w14:paraId="0D44BF84" w14:textId="77777777" w:rsidR="003E483D" w:rsidRPr="002B2821" w:rsidRDefault="003E483D" w:rsidP="003E483D">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950" w:type="dxa"/>
            <w:tcBorders>
              <w:top w:val="nil"/>
              <w:left w:val="nil"/>
              <w:bottom w:val="nil"/>
              <w:right w:val="nil"/>
            </w:tcBorders>
            <w:shd w:val="clear" w:color="auto" w:fill="auto"/>
            <w:noWrap/>
            <w:vAlign w:val="bottom"/>
            <w:hideMark/>
          </w:tcPr>
          <w:p w14:paraId="2173E147" w14:textId="77777777" w:rsidR="003E483D" w:rsidRPr="002B2821" w:rsidRDefault="003E483D" w:rsidP="003E483D">
            <w:pPr>
              <w:spacing w:after="0" w:line="240" w:lineRule="auto"/>
              <w:jc w:val="center"/>
              <w:rPr>
                <w:rFonts w:ascii="Calibri" w:hAnsi="Calibri" w:cs="Arial"/>
                <w:color w:val="333399"/>
                <w:sz w:val="24"/>
                <w:szCs w:val="24"/>
                <w:lang w:eastAsia="en-GB"/>
              </w:rPr>
            </w:pPr>
          </w:p>
        </w:tc>
      </w:tr>
      <w:tr w:rsidR="003E483D" w:rsidRPr="002B2821" w14:paraId="4E9D773C" w14:textId="77777777" w:rsidTr="003E483D">
        <w:trPr>
          <w:trHeight w:val="315"/>
        </w:trPr>
        <w:tc>
          <w:tcPr>
            <w:tcW w:w="3924" w:type="dxa"/>
            <w:tcBorders>
              <w:top w:val="nil"/>
              <w:left w:val="nil"/>
              <w:bottom w:val="nil"/>
              <w:right w:val="nil"/>
            </w:tcBorders>
            <w:shd w:val="clear" w:color="auto" w:fill="auto"/>
            <w:noWrap/>
            <w:vAlign w:val="bottom"/>
            <w:hideMark/>
          </w:tcPr>
          <w:p w14:paraId="1D8B1F17"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7D346B86"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Note</w:t>
            </w:r>
          </w:p>
        </w:tc>
        <w:tc>
          <w:tcPr>
            <w:tcW w:w="1405" w:type="dxa"/>
            <w:tcBorders>
              <w:top w:val="nil"/>
              <w:left w:val="nil"/>
              <w:bottom w:val="nil"/>
              <w:right w:val="nil"/>
            </w:tcBorders>
            <w:shd w:val="clear" w:color="auto" w:fill="auto"/>
            <w:noWrap/>
            <w:vAlign w:val="bottom"/>
            <w:hideMark/>
          </w:tcPr>
          <w:p w14:paraId="5F0E0065" w14:textId="77777777" w:rsidR="003E483D" w:rsidRPr="002B2821" w:rsidRDefault="003E483D" w:rsidP="003E483D">
            <w:pPr>
              <w:spacing w:after="0" w:line="240" w:lineRule="auto"/>
              <w:jc w:val="center"/>
              <w:rPr>
                <w:rFonts w:ascii="Calibri" w:hAnsi="Calibri" w:cs="Arial"/>
                <w:color w:val="000000"/>
                <w:lang w:eastAsia="en-GB"/>
              </w:rPr>
            </w:pPr>
          </w:p>
        </w:tc>
        <w:tc>
          <w:tcPr>
            <w:tcW w:w="521" w:type="dxa"/>
            <w:tcBorders>
              <w:top w:val="nil"/>
              <w:left w:val="nil"/>
              <w:bottom w:val="nil"/>
              <w:right w:val="nil"/>
            </w:tcBorders>
            <w:shd w:val="clear" w:color="auto" w:fill="auto"/>
            <w:noWrap/>
            <w:vAlign w:val="bottom"/>
            <w:hideMark/>
          </w:tcPr>
          <w:p w14:paraId="37320154" w14:textId="77777777" w:rsidR="003E483D" w:rsidRPr="002B2821" w:rsidRDefault="003E483D" w:rsidP="003E483D">
            <w:pPr>
              <w:spacing w:after="0" w:line="240" w:lineRule="auto"/>
              <w:jc w:val="center"/>
              <w:rPr>
                <w:lang w:eastAsia="en-GB"/>
              </w:rPr>
            </w:pPr>
          </w:p>
        </w:tc>
        <w:tc>
          <w:tcPr>
            <w:tcW w:w="1457" w:type="dxa"/>
            <w:tcBorders>
              <w:top w:val="nil"/>
              <w:left w:val="nil"/>
              <w:bottom w:val="nil"/>
              <w:right w:val="nil"/>
            </w:tcBorders>
            <w:shd w:val="clear" w:color="auto" w:fill="auto"/>
            <w:noWrap/>
            <w:vAlign w:val="bottom"/>
            <w:hideMark/>
          </w:tcPr>
          <w:p w14:paraId="1469B6CE" w14:textId="77777777" w:rsidR="003E483D" w:rsidRPr="002B2821" w:rsidRDefault="003E483D" w:rsidP="003E483D">
            <w:pPr>
              <w:spacing w:after="0" w:line="240" w:lineRule="auto"/>
              <w:jc w:val="center"/>
              <w:rPr>
                <w:lang w:eastAsia="en-GB"/>
              </w:rPr>
            </w:pPr>
          </w:p>
        </w:tc>
        <w:tc>
          <w:tcPr>
            <w:tcW w:w="950" w:type="dxa"/>
            <w:tcBorders>
              <w:top w:val="nil"/>
              <w:left w:val="nil"/>
              <w:bottom w:val="nil"/>
              <w:right w:val="nil"/>
            </w:tcBorders>
            <w:shd w:val="clear" w:color="auto" w:fill="auto"/>
            <w:noWrap/>
            <w:vAlign w:val="bottom"/>
            <w:hideMark/>
          </w:tcPr>
          <w:p w14:paraId="3696B4A9" w14:textId="77777777" w:rsidR="003E483D" w:rsidRPr="002B2821" w:rsidRDefault="003E483D" w:rsidP="003E483D">
            <w:pPr>
              <w:spacing w:after="0" w:line="240" w:lineRule="auto"/>
              <w:jc w:val="center"/>
              <w:rPr>
                <w:lang w:eastAsia="en-GB"/>
              </w:rPr>
            </w:pPr>
          </w:p>
        </w:tc>
      </w:tr>
      <w:tr w:rsidR="003E483D" w:rsidRPr="002B2821" w14:paraId="6BBB8736" w14:textId="77777777" w:rsidTr="003E483D">
        <w:trPr>
          <w:trHeight w:val="315"/>
        </w:trPr>
        <w:tc>
          <w:tcPr>
            <w:tcW w:w="3924" w:type="dxa"/>
            <w:tcBorders>
              <w:top w:val="nil"/>
              <w:left w:val="nil"/>
              <w:bottom w:val="nil"/>
              <w:right w:val="nil"/>
            </w:tcBorders>
            <w:shd w:val="clear" w:color="auto" w:fill="auto"/>
            <w:noWrap/>
            <w:vAlign w:val="bottom"/>
            <w:hideMark/>
          </w:tcPr>
          <w:p w14:paraId="09F40959"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Fixed Assets</w:t>
            </w:r>
          </w:p>
        </w:tc>
        <w:tc>
          <w:tcPr>
            <w:tcW w:w="672" w:type="dxa"/>
            <w:tcBorders>
              <w:top w:val="nil"/>
              <w:left w:val="nil"/>
              <w:bottom w:val="nil"/>
              <w:right w:val="nil"/>
            </w:tcBorders>
            <w:shd w:val="clear" w:color="auto" w:fill="auto"/>
            <w:noWrap/>
            <w:vAlign w:val="bottom"/>
            <w:hideMark/>
          </w:tcPr>
          <w:p w14:paraId="721758EC"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04BB3B6B"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1DE317B8"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2C11A8E4"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3C88EB66" w14:textId="77777777" w:rsidR="003E483D" w:rsidRPr="002B2821" w:rsidRDefault="003E483D" w:rsidP="003E483D">
            <w:pPr>
              <w:spacing w:after="0" w:line="240" w:lineRule="auto"/>
              <w:rPr>
                <w:lang w:eastAsia="en-GB"/>
              </w:rPr>
            </w:pPr>
          </w:p>
        </w:tc>
      </w:tr>
      <w:tr w:rsidR="003E483D" w:rsidRPr="002B2821" w14:paraId="46AC7861" w14:textId="77777777" w:rsidTr="003D68C8">
        <w:trPr>
          <w:trHeight w:val="315"/>
        </w:trPr>
        <w:tc>
          <w:tcPr>
            <w:tcW w:w="3924" w:type="dxa"/>
            <w:tcBorders>
              <w:top w:val="nil"/>
              <w:left w:val="nil"/>
              <w:bottom w:val="nil"/>
              <w:right w:val="nil"/>
            </w:tcBorders>
            <w:shd w:val="clear" w:color="auto" w:fill="auto"/>
            <w:noWrap/>
            <w:vAlign w:val="bottom"/>
            <w:hideMark/>
          </w:tcPr>
          <w:p w14:paraId="143F16AF"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Tangible assets</w:t>
            </w:r>
          </w:p>
        </w:tc>
        <w:tc>
          <w:tcPr>
            <w:tcW w:w="672" w:type="dxa"/>
            <w:tcBorders>
              <w:top w:val="nil"/>
              <w:left w:val="nil"/>
              <w:bottom w:val="nil"/>
              <w:right w:val="nil"/>
            </w:tcBorders>
            <w:shd w:val="clear" w:color="auto" w:fill="auto"/>
            <w:noWrap/>
            <w:vAlign w:val="bottom"/>
            <w:hideMark/>
          </w:tcPr>
          <w:p w14:paraId="5355F8FC"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8 </w:t>
            </w:r>
          </w:p>
        </w:tc>
        <w:tc>
          <w:tcPr>
            <w:tcW w:w="1405" w:type="dxa"/>
            <w:tcBorders>
              <w:top w:val="nil"/>
              <w:left w:val="nil"/>
              <w:bottom w:val="nil"/>
              <w:right w:val="nil"/>
            </w:tcBorders>
            <w:shd w:val="clear" w:color="auto" w:fill="auto"/>
            <w:noWrap/>
            <w:vAlign w:val="bottom"/>
            <w:hideMark/>
          </w:tcPr>
          <w:p w14:paraId="243DCB58"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347 </w:t>
            </w:r>
          </w:p>
        </w:tc>
        <w:tc>
          <w:tcPr>
            <w:tcW w:w="521" w:type="dxa"/>
            <w:tcBorders>
              <w:top w:val="nil"/>
              <w:left w:val="nil"/>
              <w:bottom w:val="nil"/>
              <w:right w:val="nil"/>
            </w:tcBorders>
            <w:shd w:val="clear" w:color="auto" w:fill="auto"/>
            <w:noWrap/>
            <w:vAlign w:val="bottom"/>
            <w:hideMark/>
          </w:tcPr>
          <w:p w14:paraId="71AEA2BE"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right w:val="nil"/>
            </w:tcBorders>
            <w:shd w:val="clear" w:color="auto" w:fill="auto"/>
            <w:noWrap/>
            <w:vAlign w:val="bottom"/>
            <w:hideMark/>
          </w:tcPr>
          <w:p w14:paraId="53A64091"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368 </w:t>
            </w:r>
          </w:p>
        </w:tc>
        <w:tc>
          <w:tcPr>
            <w:tcW w:w="950" w:type="dxa"/>
            <w:tcBorders>
              <w:top w:val="nil"/>
              <w:left w:val="nil"/>
              <w:bottom w:val="nil"/>
              <w:right w:val="nil"/>
            </w:tcBorders>
            <w:shd w:val="clear" w:color="auto" w:fill="auto"/>
            <w:noWrap/>
            <w:vAlign w:val="bottom"/>
            <w:hideMark/>
          </w:tcPr>
          <w:p w14:paraId="2C07EA18"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00AD5138" w14:textId="77777777" w:rsidTr="003D68C8">
        <w:trPr>
          <w:trHeight w:val="315"/>
        </w:trPr>
        <w:tc>
          <w:tcPr>
            <w:tcW w:w="3924" w:type="dxa"/>
            <w:tcBorders>
              <w:top w:val="nil"/>
              <w:left w:val="nil"/>
              <w:bottom w:val="nil"/>
              <w:right w:val="nil"/>
            </w:tcBorders>
            <w:shd w:val="clear" w:color="auto" w:fill="auto"/>
            <w:noWrap/>
            <w:vAlign w:val="bottom"/>
            <w:hideMark/>
          </w:tcPr>
          <w:p w14:paraId="6192FD06"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Investments</w:t>
            </w:r>
          </w:p>
        </w:tc>
        <w:tc>
          <w:tcPr>
            <w:tcW w:w="672" w:type="dxa"/>
            <w:tcBorders>
              <w:top w:val="nil"/>
              <w:left w:val="nil"/>
              <w:bottom w:val="nil"/>
              <w:right w:val="nil"/>
            </w:tcBorders>
            <w:shd w:val="clear" w:color="auto" w:fill="auto"/>
            <w:noWrap/>
            <w:vAlign w:val="bottom"/>
            <w:hideMark/>
          </w:tcPr>
          <w:p w14:paraId="5F01BC93"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1405" w:type="dxa"/>
            <w:tcBorders>
              <w:top w:val="nil"/>
              <w:left w:val="nil"/>
              <w:bottom w:val="nil"/>
              <w:right w:val="nil"/>
            </w:tcBorders>
            <w:shd w:val="clear" w:color="auto" w:fill="auto"/>
            <w:noWrap/>
            <w:vAlign w:val="bottom"/>
            <w:hideMark/>
          </w:tcPr>
          <w:p w14:paraId="60AC34BC"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167,676 </w:t>
            </w:r>
          </w:p>
        </w:tc>
        <w:tc>
          <w:tcPr>
            <w:tcW w:w="521" w:type="dxa"/>
            <w:tcBorders>
              <w:top w:val="nil"/>
              <w:left w:val="nil"/>
              <w:bottom w:val="nil"/>
              <w:right w:val="nil"/>
            </w:tcBorders>
            <w:shd w:val="clear" w:color="auto" w:fill="auto"/>
            <w:noWrap/>
            <w:vAlign w:val="bottom"/>
            <w:hideMark/>
          </w:tcPr>
          <w:p w14:paraId="496FE843"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single" w:sz="4" w:space="0" w:color="auto"/>
              <w:right w:val="nil"/>
            </w:tcBorders>
            <w:shd w:val="clear" w:color="auto" w:fill="auto"/>
            <w:noWrap/>
            <w:vAlign w:val="bottom"/>
            <w:hideMark/>
          </w:tcPr>
          <w:p w14:paraId="652E359E"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157,766 </w:t>
            </w:r>
          </w:p>
        </w:tc>
        <w:tc>
          <w:tcPr>
            <w:tcW w:w="950" w:type="dxa"/>
            <w:tcBorders>
              <w:top w:val="nil"/>
              <w:left w:val="nil"/>
              <w:bottom w:val="nil"/>
              <w:right w:val="nil"/>
            </w:tcBorders>
            <w:shd w:val="clear" w:color="auto" w:fill="auto"/>
            <w:noWrap/>
            <w:vAlign w:val="bottom"/>
            <w:hideMark/>
          </w:tcPr>
          <w:p w14:paraId="38CBE217"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6608FB55" w14:textId="77777777" w:rsidTr="003D68C8">
        <w:trPr>
          <w:trHeight w:val="315"/>
        </w:trPr>
        <w:tc>
          <w:tcPr>
            <w:tcW w:w="3924" w:type="dxa"/>
            <w:tcBorders>
              <w:top w:val="nil"/>
              <w:left w:val="nil"/>
              <w:bottom w:val="nil"/>
              <w:right w:val="nil"/>
            </w:tcBorders>
            <w:shd w:val="clear" w:color="auto" w:fill="auto"/>
            <w:noWrap/>
            <w:vAlign w:val="bottom"/>
            <w:hideMark/>
          </w:tcPr>
          <w:p w14:paraId="05BD4C2D"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4A200907" w14:textId="77777777" w:rsidR="003E483D" w:rsidRPr="002B2821" w:rsidRDefault="003E483D" w:rsidP="003E483D">
            <w:pPr>
              <w:spacing w:after="0" w:line="240" w:lineRule="auto"/>
              <w:rPr>
                <w:lang w:eastAsia="en-GB"/>
              </w:rPr>
            </w:pPr>
          </w:p>
        </w:tc>
        <w:tc>
          <w:tcPr>
            <w:tcW w:w="1405" w:type="dxa"/>
            <w:tcBorders>
              <w:top w:val="single" w:sz="4" w:space="0" w:color="000000"/>
              <w:left w:val="nil"/>
              <w:bottom w:val="single" w:sz="4" w:space="0" w:color="000000"/>
              <w:right w:val="nil"/>
            </w:tcBorders>
            <w:shd w:val="clear" w:color="auto" w:fill="auto"/>
            <w:noWrap/>
            <w:vAlign w:val="bottom"/>
            <w:hideMark/>
          </w:tcPr>
          <w:p w14:paraId="4A07319A"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168,023 </w:t>
            </w:r>
          </w:p>
        </w:tc>
        <w:tc>
          <w:tcPr>
            <w:tcW w:w="521" w:type="dxa"/>
            <w:tcBorders>
              <w:top w:val="nil"/>
              <w:left w:val="nil"/>
              <w:bottom w:val="nil"/>
              <w:right w:val="nil"/>
            </w:tcBorders>
            <w:shd w:val="clear" w:color="auto" w:fill="auto"/>
            <w:noWrap/>
            <w:vAlign w:val="bottom"/>
            <w:hideMark/>
          </w:tcPr>
          <w:p w14:paraId="1106B58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auto"/>
              <w:left w:val="nil"/>
              <w:bottom w:val="single" w:sz="4" w:space="0" w:color="000000"/>
              <w:right w:val="nil"/>
            </w:tcBorders>
            <w:shd w:val="clear" w:color="auto" w:fill="auto"/>
            <w:noWrap/>
            <w:vAlign w:val="bottom"/>
            <w:hideMark/>
          </w:tcPr>
          <w:p w14:paraId="496F4BBE"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158,134 </w:t>
            </w:r>
          </w:p>
        </w:tc>
        <w:tc>
          <w:tcPr>
            <w:tcW w:w="950" w:type="dxa"/>
            <w:tcBorders>
              <w:top w:val="nil"/>
              <w:left w:val="nil"/>
              <w:bottom w:val="nil"/>
              <w:right w:val="nil"/>
            </w:tcBorders>
            <w:shd w:val="clear" w:color="auto" w:fill="auto"/>
            <w:noWrap/>
            <w:vAlign w:val="bottom"/>
            <w:hideMark/>
          </w:tcPr>
          <w:p w14:paraId="4DB9A558"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129C4AF3" w14:textId="77777777" w:rsidTr="003E483D">
        <w:trPr>
          <w:trHeight w:val="315"/>
        </w:trPr>
        <w:tc>
          <w:tcPr>
            <w:tcW w:w="3924" w:type="dxa"/>
            <w:tcBorders>
              <w:top w:val="nil"/>
              <w:left w:val="nil"/>
              <w:bottom w:val="nil"/>
              <w:right w:val="nil"/>
            </w:tcBorders>
            <w:shd w:val="clear" w:color="auto" w:fill="auto"/>
            <w:noWrap/>
            <w:vAlign w:val="bottom"/>
            <w:hideMark/>
          </w:tcPr>
          <w:p w14:paraId="019EC7F8"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Current Assets</w:t>
            </w:r>
          </w:p>
        </w:tc>
        <w:tc>
          <w:tcPr>
            <w:tcW w:w="672" w:type="dxa"/>
            <w:tcBorders>
              <w:top w:val="nil"/>
              <w:left w:val="nil"/>
              <w:bottom w:val="nil"/>
              <w:right w:val="nil"/>
            </w:tcBorders>
            <w:shd w:val="clear" w:color="auto" w:fill="auto"/>
            <w:noWrap/>
            <w:vAlign w:val="bottom"/>
            <w:hideMark/>
          </w:tcPr>
          <w:p w14:paraId="436A31A3"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5BFF0B10"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625849BD"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7011CB32"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75AD40CF" w14:textId="77777777" w:rsidR="003E483D" w:rsidRPr="002B2821" w:rsidRDefault="003E483D" w:rsidP="003E483D">
            <w:pPr>
              <w:spacing w:after="0" w:line="240" w:lineRule="auto"/>
              <w:rPr>
                <w:lang w:eastAsia="en-GB"/>
              </w:rPr>
            </w:pPr>
          </w:p>
        </w:tc>
      </w:tr>
      <w:tr w:rsidR="003E483D" w:rsidRPr="002B2821" w14:paraId="7D95B485" w14:textId="77777777" w:rsidTr="003E483D">
        <w:trPr>
          <w:trHeight w:val="315"/>
        </w:trPr>
        <w:tc>
          <w:tcPr>
            <w:tcW w:w="3924" w:type="dxa"/>
            <w:tcBorders>
              <w:top w:val="nil"/>
              <w:left w:val="nil"/>
              <w:bottom w:val="nil"/>
              <w:right w:val="nil"/>
            </w:tcBorders>
            <w:shd w:val="clear" w:color="auto" w:fill="auto"/>
            <w:noWrap/>
            <w:vAlign w:val="bottom"/>
            <w:hideMark/>
          </w:tcPr>
          <w:p w14:paraId="10F40899"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Debtors and Prepayments</w:t>
            </w:r>
          </w:p>
        </w:tc>
        <w:tc>
          <w:tcPr>
            <w:tcW w:w="672" w:type="dxa"/>
            <w:tcBorders>
              <w:top w:val="nil"/>
              <w:left w:val="nil"/>
              <w:bottom w:val="nil"/>
              <w:right w:val="nil"/>
            </w:tcBorders>
            <w:shd w:val="clear" w:color="auto" w:fill="auto"/>
            <w:noWrap/>
            <w:vAlign w:val="bottom"/>
            <w:hideMark/>
          </w:tcPr>
          <w:p w14:paraId="7CFA9185"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14 </w:t>
            </w:r>
          </w:p>
        </w:tc>
        <w:tc>
          <w:tcPr>
            <w:tcW w:w="1405" w:type="dxa"/>
            <w:tcBorders>
              <w:top w:val="nil"/>
              <w:left w:val="nil"/>
              <w:bottom w:val="nil"/>
              <w:right w:val="nil"/>
            </w:tcBorders>
            <w:shd w:val="clear" w:color="auto" w:fill="auto"/>
            <w:noWrap/>
            <w:vAlign w:val="bottom"/>
            <w:hideMark/>
          </w:tcPr>
          <w:p w14:paraId="33ADA782"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43 </w:t>
            </w:r>
          </w:p>
        </w:tc>
        <w:tc>
          <w:tcPr>
            <w:tcW w:w="521" w:type="dxa"/>
            <w:tcBorders>
              <w:top w:val="nil"/>
              <w:left w:val="nil"/>
              <w:bottom w:val="nil"/>
              <w:right w:val="nil"/>
            </w:tcBorders>
            <w:shd w:val="clear" w:color="auto" w:fill="auto"/>
            <w:noWrap/>
            <w:vAlign w:val="bottom"/>
            <w:hideMark/>
          </w:tcPr>
          <w:p w14:paraId="27FFFA5F"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2234E7AE"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34 </w:t>
            </w:r>
          </w:p>
        </w:tc>
        <w:tc>
          <w:tcPr>
            <w:tcW w:w="950" w:type="dxa"/>
            <w:tcBorders>
              <w:top w:val="nil"/>
              <w:left w:val="nil"/>
              <w:bottom w:val="nil"/>
              <w:right w:val="nil"/>
            </w:tcBorders>
            <w:shd w:val="clear" w:color="auto" w:fill="auto"/>
            <w:noWrap/>
            <w:vAlign w:val="bottom"/>
            <w:hideMark/>
          </w:tcPr>
          <w:p w14:paraId="62A8B787"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2194229F" w14:textId="77777777" w:rsidTr="003E483D">
        <w:trPr>
          <w:trHeight w:val="315"/>
        </w:trPr>
        <w:tc>
          <w:tcPr>
            <w:tcW w:w="3924" w:type="dxa"/>
            <w:tcBorders>
              <w:top w:val="nil"/>
              <w:left w:val="nil"/>
              <w:bottom w:val="nil"/>
              <w:right w:val="nil"/>
            </w:tcBorders>
            <w:shd w:val="clear" w:color="auto" w:fill="auto"/>
            <w:noWrap/>
            <w:vAlign w:val="bottom"/>
            <w:hideMark/>
          </w:tcPr>
          <w:p w14:paraId="733B4388" w14:textId="56D44AAA"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Advance</w:t>
            </w:r>
            <w:r w:rsidR="00531E34">
              <w:rPr>
                <w:rFonts w:ascii="Calibri" w:hAnsi="Calibri" w:cs="Arial"/>
                <w:color w:val="000000"/>
                <w:sz w:val="24"/>
                <w:szCs w:val="24"/>
                <w:lang w:eastAsia="en-GB"/>
              </w:rPr>
              <w:t>s</w:t>
            </w:r>
            <w:r w:rsidRPr="002B2821">
              <w:rPr>
                <w:rFonts w:ascii="Calibri" w:hAnsi="Calibri" w:cs="Arial"/>
                <w:color w:val="000000"/>
                <w:sz w:val="24"/>
                <w:szCs w:val="24"/>
                <w:lang w:eastAsia="en-GB"/>
              </w:rPr>
              <w:t xml:space="preserve"> of Grants</w:t>
            </w:r>
          </w:p>
        </w:tc>
        <w:tc>
          <w:tcPr>
            <w:tcW w:w="672" w:type="dxa"/>
            <w:tcBorders>
              <w:top w:val="nil"/>
              <w:left w:val="nil"/>
              <w:bottom w:val="nil"/>
              <w:right w:val="nil"/>
            </w:tcBorders>
            <w:shd w:val="clear" w:color="auto" w:fill="auto"/>
            <w:noWrap/>
            <w:vAlign w:val="bottom"/>
            <w:hideMark/>
          </w:tcPr>
          <w:p w14:paraId="439AA3EE"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14 </w:t>
            </w:r>
          </w:p>
        </w:tc>
        <w:tc>
          <w:tcPr>
            <w:tcW w:w="1405" w:type="dxa"/>
            <w:tcBorders>
              <w:top w:val="nil"/>
              <w:left w:val="nil"/>
              <w:bottom w:val="nil"/>
              <w:right w:val="nil"/>
            </w:tcBorders>
            <w:shd w:val="clear" w:color="auto" w:fill="auto"/>
            <w:noWrap/>
            <w:vAlign w:val="bottom"/>
            <w:hideMark/>
          </w:tcPr>
          <w:p w14:paraId="1E8FAE1D" w14:textId="77777777" w:rsidR="003E483D" w:rsidRPr="002B2821" w:rsidRDefault="003E483D" w:rsidP="003E483D">
            <w:pPr>
              <w:spacing w:after="0" w:line="240" w:lineRule="auto"/>
              <w:jc w:val="center"/>
              <w:rPr>
                <w:rFonts w:ascii="Calibri" w:hAnsi="Calibri" w:cs="Arial"/>
                <w:color w:val="000000"/>
                <w:lang w:eastAsia="en-GB"/>
              </w:rPr>
            </w:pPr>
          </w:p>
        </w:tc>
        <w:tc>
          <w:tcPr>
            <w:tcW w:w="521" w:type="dxa"/>
            <w:tcBorders>
              <w:top w:val="nil"/>
              <w:left w:val="nil"/>
              <w:bottom w:val="nil"/>
              <w:right w:val="nil"/>
            </w:tcBorders>
            <w:shd w:val="clear" w:color="auto" w:fill="auto"/>
            <w:noWrap/>
            <w:vAlign w:val="bottom"/>
            <w:hideMark/>
          </w:tcPr>
          <w:p w14:paraId="09176169"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6100A893"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714FE86A" w14:textId="77777777" w:rsidR="003E483D" w:rsidRPr="002B2821" w:rsidRDefault="003E483D" w:rsidP="003E483D">
            <w:pPr>
              <w:spacing w:after="0" w:line="240" w:lineRule="auto"/>
              <w:rPr>
                <w:lang w:eastAsia="en-GB"/>
              </w:rPr>
            </w:pPr>
          </w:p>
        </w:tc>
      </w:tr>
      <w:tr w:rsidR="003E483D" w:rsidRPr="002B2821" w14:paraId="2909F513" w14:textId="77777777" w:rsidTr="003E483D">
        <w:trPr>
          <w:trHeight w:val="315"/>
        </w:trPr>
        <w:tc>
          <w:tcPr>
            <w:tcW w:w="3924" w:type="dxa"/>
            <w:tcBorders>
              <w:top w:val="nil"/>
              <w:left w:val="nil"/>
              <w:bottom w:val="nil"/>
              <w:right w:val="nil"/>
            </w:tcBorders>
            <w:shd w:val="clear" w:color="auto" w:fill="auto"/>
            <w:noWrap/>
            <w:vAlign w:val="bottom"/>
            <w:hideMark/>
          </w:tcPr>
          <w:p w14:paraId="4B00E7D5"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amounts falling due within one year</w:t>
            </w:r>
          </w:p>
        </w:tc>
        <w:tc>
          <w:tcPr>
            <w:tcW w:w="672" w:type="dxa"/>
            <w:tcBorders>
              <w:top w:val="nil"/>
              <w:left w:val="nil"/>
              <w:bottom w:val="nil"/>
              <w:right w:val="nil"/>
            </w:tcBorders>
            <w:shd w:val="clear" w:color="auto" w:fill="auto"/>
            <w:noWrap/>
            <w:vAlign w:val="bottom"/>
            <w:hideMark/>
          </w:tcPr>
          <w:p w14:paraId="7CCAA773" w14:textId="77777777" w:rsidR="003E483D" w:rsidRPr="002B2821" w:rsidRDefault="003E483D" w:rsidP="003E483D">
            <w:pPr>
              <w:spacing w:after="0" w:line="240" w:lineRule="auto"/>
              <w:rPr>
                <w:rFonts w:ascii="Calibri" w:hAnsi="Calibri" w:cs="Arial"/>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0586D527"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721 </w:t>
            </w:r>
          </w:p>
        </w:tc>
        <w:tc>
          <w:tcPr>
            <w:tcW w:w="521" w:type="dxa"/>
            <w:tcBorders>
              <w:top w:val="nil"/>
              <w:left w:val="nil"/>
              <w:bottom w:val="nil"/>
              <w:right w:val="nil"/>
            </w:tcBorders>
            <w:shd w:val="clear" w:color="auto" w:fill="auto"/>
            <w:noWrap/>
            <w:vAlign w:val="bottom"/>
            <w:hideMark/>
          </w:tcPr>
          <w:p w14:paraId="20ABDBB6"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7C18A4D6"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725 </w:t>
            </w:r>
          </w:p>
        </w:tc>
        <w:tc>
          <w:tcPr>
            <w:tcW w:w="950" w:type="dxa"/>
            <w:tcBorders>
              <w:top w:val="nil"/>
              <w:left w:val="nil"/>
              <w:bottom w:val="nil"/>
              <w:right w:val="nil"/>
            </w:tcBorders>
            <w:shd w:val="clear" w:color="auto" w:fill="auto"/>
            <w:noWrap/>
            <w:vAlign w:val="bottom"/>
            <w:hideMark/>
          </w:tcPr>
          <w:p w14:paraId="5878B022"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201BEA92" w14:textId="77777777" w:rsidTr="003E483D">
        <w:trPr>
          <w:trHeight w:val="315"/>
        </w:trPr>
        <w:tc>
          <w:tcPr>
            <w:tcW w:w="3924" w:type="dxa"/>
            <w:tcBorders>
              <w:top w:val="nil"/>
              <w:left w:val="nil"/>
              <w:bottom w:val="nil"/>
              <w:right w:val="nil"/>
            </w:tcBorders>
            <w:shd w:val="clear" w:color="auto" w:fill="auto"/>
            <w:noWrap/>
            <w:vAlign w:val="bottom"/>
            <w:hideMark/>
          </w:tcPr>
          <w:p w14:paraId="7E0BA2E1"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amounts falling due after one year</w:t>
            </w:r>
          </w:p>
        </w:tc>
        <w:tc>
          <w:tcPr>
            <w:tcW w:w="672" w:type="dxa"/>
            <w:tcBorders>
              <w:top w:val="nil"/>
              <w:left w:val="nil"/>
              <w:bottom w:val="nil"/>
              <w:right w:val="nil"/>
            </w:tcBorders>
            <w:shd w:val="clear" w:color="auto" w:fill="auto"/>
            <w:noWrap/>
            <w:vAlign w:val="bottom"/>
            <w:hideMark/>
          </w:tcPr>
          <w:p w14:paraId="1F748ECC" w14:textId="77777777" w:rsidR="003E483D" w:rsidRPr="002B2821" w:rsidRDefault="003E483D" w:rsidP="003E483D">
            <w:pPr>
              <w:spacing w:after="0" w:line="240" w:lineRule="auto"/>
              <w:rPr>
                <w:rFonts w:ascii="Calibri" w:hAnsi="Calibri" w:cs="Arial"/>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5596E1BA"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2,967 </w:t>
            </w:r>
          </w:p>
        </w:tc>
        <w:tc>
          <w:tcPr>
            <w:tcW w:w="521" w:type="dxa"/>
            <w:tcBorders>
              <w:top w:val="nil"/>
              <w:left w:val="nil"/>
              <w:bottom w:val="nil"/>
              <w:right w:val="nil"/>
            </w:tcBorders>
            <w:shd w:val="clear" w:color="auto" w:fill="auto"/>
            <w:noWrap/>
            <w:vAlign w:val="bottom"/>
            <w:hideMark/>
          </w:tcPr>
          <w:p w14:paraId="185E9090"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7EDC9EAE"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2,813 </w:t>
            </w:r>
          </w:p>
        </w:tc>
        <w:tc>
          <w:tcPr>
            <w:tcW w:w="950" w:type="dxa"/>
            <w:tcBorders>
              <w:top w:val="nil"/>
              <w:left w:val="nil"/>
              <w:bottom w:val="nil"/>
              <w:right w:val="nil"/>
            </w:tcBorders>
            <w:shd w:val="clear" w:color="auto" w:fill="auto"/>
            <w:noWrap/>
            <w:vAlign w:val="bottom"/>
            <w:hideMark/>
          </w:tcPr>
          <w:p w14:paraId="70C06627"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1A23630F" w14:textId="77777777" w:rsidTr="003E483D">
        <w:trPr>
          <w:trHeight w:val="315"/>
        </w:trPr>
        <w:tc>
          <w:tcPr>
            <w:tcW w:w="3924" w:type="dxa"/>
            <w:tcBorders>
              <w:top w:val="nil"/>
              <w:left w:val="nil"/>
              <w:bottom w:val="nil"/>
              <w:right w:val="nil"/>
            </w:tcBorders>
            <w:shd w:val="clear" w:color="auto" w:fill="auto"/>
            <w:noWrap/>
            <w:vAlign w:val="bottom"/>
            <w:hideMark/>
          </w:tcPr>
          <w:p w14:paraId="6A029504"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at Bank and in Hand</w:t>
            </w:r>
          </w:p>
        </w:tc>
        <w:tc>
          <w:tcPr>
            <w:tcW w:w="672" w:type="dxa"/>
            <w:tcBorders>
              <w:top w:val="nil"/>
              <w:left w:val="nil"/>
              <w:bottom w:val="nil"/>
              <w:right w:val="nil"/>
            </w:tcBorders>
            <w:shd w:val="clear" w:color="auto" w:fill="auto"/>
            <w:noWrap/>
            <w:vAlign w:val="bottom"/>
            <w:hideMark/>
          </w:tcPr>
          <w:p w14:paraId="001B9A37" w14:textId="77777777" w:rsidR="003E483D" w:rsidRPr="002B2821" w:rsidRDefault="003E483D" w:rsidP="003E483D">
            <w:pPr>
              <w:spacing w:after="0" w:line="240" w:lineRule="auto"/>
              <w:rPr>
                <w:rFonts w:ascii="Calibri" w:hAnsi="Calibri" w:cs="Arial"/>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3DF7E8B4"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9,862 </w:t>
            </w:r>
          </w:p>
        </w:tc>
        <w:tc>
          <w:tcPr>
            <w:tcW w:w="521" w:type="dxa"/>
            <w:tcBorders>
              <w:top w:val="nil"/>
              <w:left w:val="nil"/>
              <w:bottom w:val="nil"/>
              <w:right w:val="nil"/>
            </w:tcBorders>
            <w:shd w:val="clear" w:color="auto" w:fill="auto"/>
            <w:noWrap/>
            <w:vAlign w:val="bottom"/>
            <w:hideMark/>
          </w:tcPr>
          <w:p w14:paraId="6AA7081F"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24EF8779"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15,106 </w:t>
            </w:r>
          </w:p>
        </w:tc>
        <w:tc>
          <w:tcPr>
            <w:tcW w:w="950" w:type="dxa"/>
            <w:tcBorders>
              <w:top w:val="nil"/>
              <w:left w:val="nil"/>
              <w:bottom w:val="nil"/>
              <w:right w:val="nil"/>
            </w:tcBorders>
            <w:shd w:val="clear" w:color="auto" w:fill="auto"/>
            <w:noWrap/>
            <w:vAlign w:val="bottom"/>
            <w:hideMark/>
          </w:tcPr>
          <w:p w14:paraId="142CEA40"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03E30B2D" w14:textId="77777777" w:rsidTr="003E483D">
        <w:trPr>
          <w:trHeight w:val="315"/>
        </w:trPr>
        <w:tc>
          <w:tcPr>
            <w:tcW w:w="3924" w:type="dxa"/>
            <w:tcBorders>
              <w:top w:val="nil"/>
              <w:left w:val="nil"/>
              <w:bottom w:val="nil"/>
              <w:right w:val="nil"/>
            </w:tcBorders>
            <w:shd w:val="clear" w:color="auto" w:fill="auto"/>
            <w:noWrap/>
            <w:vAlign w:val="bottom"/>
            <w:hideMark/>
          </w:tcPr>
          <w:p w14:paraId="35C87528"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6643412B" w14:textId="77777777" w:rsidR="003E483D" w:rsidRPr="002B2821" w:rsidRDefault="003E483D" w:rsidP="003E483D">
            <w:pPr>
              <w:spacing w:after="0" w:line="240" w:lineRule="auto"/>
              <w:rPr>
                <w:lang w:eastAsia="en-GB"/>
              </w:rPr>
            </w:pPr>
          </w:p>
        </w:tc>
        <w:tc>
          <w:tcPr>
            <w:tcW w:w="1405" w:type="dxa"/>
            <w:tcBorders>
              <w:top w:val="single" w:sz="4" w:space="0" w:color="000000"/>
              <w:left w:val="nil"/>
              <w:bottom w:val="single" w:sz="4" w:space="0" w:color="000000"/>
              <w:right w:val="nil"/>
            </w:tcBorders>
            <w:shd w:val="clear" w:color="auto" w:fill="auto"/>
            <w:noWrap/>
            <w:vAlign w:val="bottom"/>
            <w:hideMark/>
          </w:tcPr>
          <w:p w14:paraId="3D27ECF5"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13,593 </w:t>
            </w:r>
          </w:p>
        </w:tc>
        <w:tc>
          <w:tcPr>
            <w:tcW w:w="521" w:type="dxa"/>
            <w:tcBorders>
              <w:top w:val="nil"/>
              <w:left w:val="nil"/>
              <w:bottom w:val="nil"/>
              <w:right w:val="nil"/>
            </w:tcBorders>
            <w:shd w:val="clear" w:color="auto" w:fill="auto"/>
            <w:noWrap/>
            <w:vAlign w:val="bottom"/>
            <w:hideMark/>
          </w:tcPr>
          <w:p w14:paraId="3FBA40C8"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000000"/>
              <w:left w:val="nil"/>
              <w:bottom w:val="single" w:sz="4" w:space="0" w:color="000000"/>
              <w:right w:val="nil"/>
            </w:tcBorders>
            <w:shd w:val="clear" w:color="auto" w:fill="auto"/>
            <w:noWrap/>
            <w:vAlign w:val="bottom"/>
            <w:hideMark/>
          </w:tcPr>
          <w:p w14:paraId="675400F6"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18,678 </w:t>
            </w:r>
          </w:p>
        </w:tc>
        <w:tc>
          <w:tcPr>
            <w:tcW w:w="950" w:type="dxa"/>
            <w:tcBorders>
              <w:top w:val="nil"/>
              <w:left w:val="nil"/>
              <w:bottom w:val="nil"/>
              <w:right w:val="nil"/>
            </w:tcBorders>
            <w:shd w:val="clear" w:color="auto" w:fill="auto"/>
            <w:noWrap/>
            <w:vAlign w:val="bottom"/>
            <w:hideMark/>
          </w:tcPr>
          <w:p w14:paraId="1CB5C213"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37F2DD71" w14:textId="77777777" w:rsidTr="003E483D">
        <w:trPr>
          <w:trHeight w:val="315"/>
        </w:trPr>
        <w:tc>
          <w:tcPr>
            <w:tcW w:w="3924" w:type="dxa"/>
            <w:tcBorders>
              <w:top w:val="nil"/>
              <w:left w:val="nil"/>
              <w:bottom w:val="nil"/>
              <w:right w:val="nil"/>
            </w:tcBorders>
            <w:shd w:val="clear" w:color="auto" w:fill="auto"/>
            <w:noWrap/>
            <w:vAlign w:val="bottom"/>
            <w:hideMark/>
          </w:tcPr>
          <w:p w14:paraId="383080A2"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Creditors: amounts falling due</w:t>
            </w:r>
          </w:p>
        </w:tc>
        <w:tc>
          <w:tcPr>
            <w:tcW w:w="672" w:type="dxa"/>
            <w:tcBorders>
              <w:top w:val="nil"/>
              <w:left w:val="nil"/>
              <w:bottom w:val="nil"/>
              <w:right w:val="nil"/>
            </w:tcBorders>
            <w:shd w:val="clear" w:color="auto" w:fill="auto"/>
            <w:noWrap/>
            <w:vAlign w:val="bottom"/>
            <w:hideMark/>
          </w:tcPr>
          <w:p w14:paraId="37C3A50A"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679F3078"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61136281"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3FB6D2D1"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63C2819A" w14:textId="77777777" w:rsidR="003E483D" w:rsidRPr="002B2821" w:rsidRDefault="003E483D" w:rsidP="003E483D">
            <w:pPr>
              <w:spacing w:after="0" w:line="240" w:lineRule="auto"/>
              <w:rPr>
                <w:lang w:eastAsia="en-GB"/>
              </w:rPr>
            </w:pPr>
          </w:p>
        </w:tc>
      </w:tr>
      <w:tr w:rsidR="003E483D" w:rsidRPr="002B2821" w14:paraId="05BC07B1" w14:textId="77777777" w:rsidTr="003E483D">
        <w:trPr>
          <w:trHeight w:val="315"/>
        </w:trPr>
        <w:tc>
          <w:tcPr>
            <w:tcW w:w="3924" w:type="dxa"/>
            <w:tcBorders>
              <w:top w:val="nil"/>
              <w:left w:val="nil"/>
              <w:bottom w:val="nil"/>
              <w:right w:val="nil"/>
            </w:tcBorders>
            <w:shd w:val="clear" w:color="auto" w:fill="auto"/>
            <w:noWrap/>
            <w:vAlign w:val="bottom"/>
            <w:hideMark/>
          </w:tcPr>
          <w:p w14:paraId="7B26127C"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within one year</w:t>
            </w:r>
          </w:p>
        </w:tc>
        <w:tc>
          <w:tcPr>
            <w:tcW w:w="672" w:type="dxa"/>
            <w:tcBorders>
              <w:top w:val="nil"/>
              <w:left w:val="nil"/>
              <w:bottom w:val="nil"/>
              <w:right w:val="nil"/>
            </w:tcBorders>
            <w:shd w:val="clear" w:color="auto" w:fill="auto"/>
            <w:noWrap/>
            <w:vAlign w:val="bottom"/>
            <w:hideMark/>
          </w:tcPr>
          <w:p w14:paraId="7EA02876"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613D3C2A"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0539F67F"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1BB21472"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19C716A2" w14:textId="77777777" w:rsidR="003E483D" w:rsidRPr="002B2821" w:rsidRDefault="003E483D" w:rsidP="003E483D">
            <w:pPr>
              <w:spacing w:after="0" w:line="240" w:lineRule="auto"/>
              <w:rPr>
                <w:lang w:eastAsia="en-GB"/>
              </w:rPr>
            </w:pPr>
          </w:p>
        </w:tc>
      </w:tr>
      <w:tr w:rsidR="003E483D" w:rsidRPr="002B2821" w14:paraId="0D8AF189" w14:textId="77777777" w:rsidTr="003E483D">
        <w:trPr>
          <w:trHeight w:val="315"/>
        </w:trPr>
        <w:tc>
          <w:tcPr>
            <w:tcW w:w="3924" w:type="dxa"/>
            <w:tcBorders>
              <w:top w:val="nil"/>
              <w:left w:val="nil"/>
              <w:bottom w:val="nil"/>
              <w:right w:val="nil"/>
            </w:tcBorders>
            <w:shd w:val="clear" w:color="auto" w:fill="auto"/>
            <w:noWrap/>
            <w:vAlign w:val="bottom"/>
            <w:hideMark/>
          </w:tcPr>
          <w:p w14:paraId="197FC5AE"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Beneficiary nominee accounts</w:t>
            </w:r>
          </w:p>
        </w:tc>
        <w:tc>
          <w:tcPr>
            <w:tcW w:w="672" w:type="dxa"/>
            <w:tcBorders>
              <w:top w:val="nil"/>
              <w:left w:val="nil"/>
              <w:bottom w:val="nil"/>
              <w:right w:val="nil"/>
            </w:tcBorders>
            <w:shd w:val="clear" w:color="auto" w:fill="auto"/>
            <w:noWrap/>
            <w:vAlign w:val="bottom"/>
            <w:hideMark/>
          </w:tcPr>
          <w:p w14:paraId="55CF5669"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11 </w:t>
            </w:r>
          </w:p>
        </w:tc>
        <w:tc>
          <w:tcPr>
            <w:tcW w:w="1405" w:type="dxa"/>
            <w:tcBorders>
              <w:top w:val="nil"/>
              <w:left w:val="nil"/>
              <w:bottom w:val="nil"/>
              <w:right w:val="nil"/>
            </w:tcBorders>
            <w:shd w:val="clear" w:color="auto" w:fill="auto"/>
            <w:noWrap/>
            <w:vAlign w:val="bottom"/>
            <w:hideMark/>
          </w:tcPr>
          <w:p w14:paraId="0E32EED0"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(17,335)</w:t>
            </w:r>
          </w:p>
        </w:tc>
        <w:tc>
          <w:tcPr>
            <w:tcW w:w="521" w:type="dxa"/>
            <w:tcBorders>
              <w:top w:val="nil"/>
              <w:left w:val="nil"/>
              <w:bottom w:val="nil"/>
              <w:right w:val="nil"/>
            </w:tcBorders>
            <w:shd w:val="clear" w:color="auto" w:fill="auto"/>
            <w:noWrap/>
            <w:vAlign w:val="bottom"/>
            <w:hideMark/>
          </w:tcPr>
          <w:p w14:paraId="53004DE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4DBA1E97"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(17,525)</w:t>
            </w:r>
          </w:p>
        </w:tc>
        <w:tc>
          <w:tcPr>
            <w:tcW w:w="950" w:type="dxa"/>
            <w:tcBorders>
              <w:top w:val="nil"/>
              <w:left w:val="nil"/>
              <w:bottom w:val="nil"/>
              <w:right w:val="nil"/>
            </w:tcBorders>
            <w:shd w:val="clear" w:color="auto" w:fill="auto"/>
            <w:noWrap/>
            <w:vAlign w:val="bottom"/>
            <w:hideMark/>
          </w:tcPr>
          <w:p w14:paraId="7834681C"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3D081C9A" w14:textId="77777777" w:rsidTr="003E483D">
        <w:trPr>
          <w:trHeight w:val="315"/>
        </w:trPr>
        <w:tc>
          <w:tcPr>
            <w:tcW w:w="3924" w:type="dxa"/>
            <w:tcBorders>
              <w:top w:val="nil"/>
              <w:left w:val="nil"/>
              <w:bottom w:val="nil"/>
              <w:right w:val="nil"/>
            </w:tcBorders>
            <w:shd w:val="clear" w:color="auto" w:fill="auto"/>
            <w:noWrap/>
            <w:vAlign w:val="bottom"/>
            <w:hideMark/>
          </w:tcPr>
          <w:p w14:paraId="2660D5E2"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Creditors and accruals</w:t>
            </w:r>
          </w:p>
        </w:tc>
        <w:tc>
          <w:tcPr>
            <w:tcW w:w="672" w:type="dxa"/>
            <w:tcBorders>
              <w:top w:val="nil"/>
              <w:left w:val="nil"/>
              <w:bottom w:val="nil"/>
              <w:right w:val="nil"/>
            </w:tcBorders>
            <w:shd w:val="clear" w:color="auto" w:fill="auto"/>
            <w:noWrap/>
            <w:vAlign w:val="bottom"/>
            <w:hideMark/>
          </w:tcPr>
          <w:p w14:paraId="6BFA1305"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15 </w:t>
            </w:r>
          </w:p>
        </w:tc>
        <w:tc>
          <w:tcPr>
            <w:tcW w:w="1405" w:type="dxa"/>
            <w:tcBorders>
              <w:top w:val="nil"/>
              <w:left w:val="nil"/>
              <w:bottom w:val="nil"/>
              <w:right w:val="nil"/>
            </w:tcBorders>
            <w:shd w:val="clear" w:color="auto" w:fill="auto"/>
            <w:noWrap/>
            <w:vAlign w:val="bottom"/>
            <w:hideMark/>
          </w:tcPr>
          <w:p w14:paraId="73B89170"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(290)</w:t>
            </w:r>
          </w:p>
        </w:tc>
        <w:tc>
          <w:tcPr>
            <w:tcW w:w="521" w:type="dxa"/>
            <w:tcBorders>
              <w:top w:val="nil"/>
              <w:left w:val="nil"/>
              <w:bottom w:val="nil"/>
              <w:right w:val="nil"/>
            </w:tcBorders>
            <w:shd w:val="clear" w:color="auto" w:fill="auto"/>
            <w:noWrap/>
            <w:vAlign w:val="bottom"/>
            <w:hideMark/>
          </w:tcPr>
          <w:p w14:paraId="0AB061D0"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2BA5203C"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(386)</w:t>
            </w:r>
          </w:p>
        </w:tc>
        <w:tc>
          <w:tcPr>
            <w:tcW w:w="950" w:type="dxa"/>
            <w:tcBorders>
              <w:top w:val="nil"/>
              <w:left w:val="nil"/>
              <w:bottom w:val="nil"/>
              <w:right w:val="nil"/>
            </w:tcBorders>
            <w:shd w:val="clear" w:color="auto" w:fill="auto"/>
            <w:noWrap/>
            <w:vAlign w:val="bottom"/>
            <w:hideMark/>
          </w:tcPr>
          <w:p w14:paraId="78D2760F"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2A7B916B" w14:textId="77777777" w:rsidTr="003E483D">
        <w:trPr>
          <w:trHeight w:val="315"/>
        </w:trPr>
        <w:tc>
          <w:tcPr>
            <w:tcW w:w="3924" w:type="dxa"/>
            <w:tcBorders>
              <w:top w:val="nil"/>
              <w:left w:val="nil"/>
              <w:bottom w:val="nil"/>
              <w:right w:val="nil"/>
            </w:tcBorders>
            <w:shd w:val="clear" w:color="auto" w:fill="auto"/>
            <w:noWrap/>
            <w:vAlign w:val="bottom"/>
            <w:hideMark/>
          </w:tcPr>
          <w:p w14:paraId="0C51BCFB"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36CB8D9A" w14:textId="77777777" w:rsidR="003E483D" w:rsidRPr="002B2821" w:rsidRDefault="003E483D" w:rsidP="003E483D">
            <w:pPr>
              <w:spacing w:after="0" w:line="240" w:lineRule="auto"/>
              <w:rPr>
                <w:lang w:eastAsia="en-GB"/>
              </w:rPr>
            </w:pPr>
          </w:p>
        </w:tc>
        <w:tc>
          <w:tcPr>
            <w:tcW w:w="1405" w:type="dxa"/>
            <w:tcBorders>
              <w:top w:val="single" w:sz="4" w:space="0" w:color="000000"/>
              <w:left w:val="nil"/>
              <w:bottom w:val="single" w:sz="4" w:space="0" w:color="000000"/>
              <w:right w:val="nil"/>
            </w:tcBorders>
            <w:shd w:val="clear" w:color="auto" w:fill="auto"/>
            <w:noWrap/>
            <w:vAlign w:val="bottom"/>
            <w:hideMark/>
          </w:tcPr>
          <w:p w14:paraId="3A040B10"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(17,625)</w:t>
            </w:r>
          </w:p>
        </w:tc>
        <w:tc>
          <w:tcPr>
            <w:tcW w:w="521" w:type="dxa"/>
            <w:tcBorders>
              <w:top w:val="nil"/>
              <w:left w:val="nil"/>
              <w:bottom w:val="nil"/>
              <w:right w:val="nil"/>
            </w:tcBorders>
            <w:shd w:val="clear" w:color="auto" w:fill="auto"/>
            <w:noWrap/>
            <w:vAlign w:val="bottom"/>
            <w:hideMark/>
          </w:tcPr>
          <w:p w14:paraId="48292E8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000000"/>
              <w:left w:val="nil"/>
              <w:bottom w:val="single" w:sz="4" w:space="0" w:color="3C3C3C"/>
              <w:right w:val="nil"/>
            </w:tcBorders>
            <w:shd w:val="clear" w:color="auto" w:fill="auto"/>
            <w:noWrap/>
            <w:vAlign w:val="bottom"/>
            <w:hideMark/>
          </w:tcPr>
          <w:p w14:paraId="6EEB5A24"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(17,911)</w:t>
            </w:r>
          </w:p>
        </w:tc>
        <w:tc>
          <w:tcPr>
            <w:tcW w:w="950" w:type="dxa"/>
            <w:tcBorders>
              <w:top w:val="nil"/>
              <w:left w:val="nil"/>
              <w:bottom w:val="nil"/>
              <w:right w:val="nil"/>
            </w:tcBorders>
            <w:shd w:val="clear" w:color="auto" w:fill="auto"/>
            <w:noWrap/>
            <w:vAlign w:val="bottom"/>
            <w:hideMark/>
          </w:tcPr>
          <w:p w14:paraId="55EE1A80"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72826177" w14:textId="77777777" w:rsidTr="003E483D">
        <w:trPr>
          <w:trHeight w:val="315"/>
        </w:trPr>
        <w:tc>
          <w:tcPr>
            <w:tcW w:w="3924" w:type="dxa"/>
            <w:tcBorders>
              <w:top w:val="nil"/>
              <w:left w:val="nil"/>
              <w:bottom w:val="nil"/>
              <w:right w:val="nil"/>
            </w:tcBorders>
            <w:shd w:val="clear" w:color="auto" w:fill="auto"/>
            <w:noWrap/>
            <w:vAlign w:val="bottom"/>
            <w:hideMark/>
          </w:tcPr>
          <w:p w14:paraId="61868571"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00BA3C83"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03B015C1"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153F4E61"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38AEA63B"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1F2BE87A" w14:textId="77777777" w:rsidR="003E483D" w:rsidRPr="002B2821" w:rsidRDefault="003E483D" w:rsidP="003E483D">
            <w:pPr>
              <w:spacing w:after="0" w:line="240" w:lineRule="auto"/>
              <w:rPr>
                <w:lang w:eastAsia="en-GB"/>
              </w:rPr>
            </w:pPr>
          </w:p>
        </w:tc>
      </w:tr>
      <w:tr w:rsidR="003E483D" w:rsidRPr="002B2821" w14:paraId="3097B494" w14:textId="77777777" w:rsidTr="003E483D">
        <w:trPr>
          <w:trHeight w:val="315"/>
        </w:trPr>
        <w:tc>
          <w:tcPr>
            <w:tcW w:w="3924" w:type="dxa"/>
            <w:tcBorders>
              <w:top w:val="nil"/>
              <w:left w:val="nil"/>
              <w:bottom w:val="nil"/>
              <w:right w:val="nil"/>
            </w:tcBorders>
            <w:shd w:val="clear" w:color="auto" w:fill="auto"/>
            <w:noWrap/>
            <w:vAlign w:val="bottom"/>
            <w:hideMark/>
          </w:tcPr>
          <w:p w14:paraId="0EE20792" w14:textId="38222B0E"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Net current </w:t>
            </w:r>
            <w:r w:rsidR="005C5BF4">
              <w:rPr>
                <w:rFonts w:ascii="Calibri" w:hAnsi="Calibri" w:cs="Arial"/>
                <w:b/>
                <w:bCs/>
                <w:color w:val="000000"/>
                <w:sz w:val="24"/>
                <w:szCs w:val="24"/>
                <w:lang w:eastAsia="en-GB"/>
              </w:rPr>
              <w:t>(liabilities)/</w:t>
            </w:r>
            <w:r w:rsidRPr="002B2821">
              <w:rPr>
                <w:rFonts w:ascii="Calibri" w:hAnsi="Calibri" w:cs="Arial"/>
                <w:b/>
                <w:bCs/>
                <w:color w:val="000000"/>
                <w:sz w:val="24"/>
                <w:szCs w:val="24"/>
                <w:lang w:eastAsia="en-GB"/>
              </w:rPr>
              <w:t>assets</w:t>
            </w:r>
          </w:p>
        </w:tc>
        <w:tc>
          <w:tcPr>
            <w:tcW w:w="672" w:type="dxa"/>
            <w:tcBorders>
              <w:top w:val="nil"/>
              <w:left w:val="nil"/>
              <w:bottom w:val="nil"/>
              <w:right w:val="nil"/>
            </w:tcBorders>
            <w:shd w:val="clear" w:color="auto" w:fill="auto"/>
            <w:noWrap/>
            <w:vAlign w:val="bottom"/>
            <w:hideMark/>
          </w:tcPr>
          <w:p w14:paraId="104930E7"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single" w:sz="4" w:space="0" w:color="3C3C3C"/>
              <w:right w:val="nil"/>
            </w:tcBorders>
            <w:shd w:val="clear" w:color="auto" w:fill="auto"/>
            <w:noWrap/>
            <w:vAlign w:val="bottom"/>
            <w:hideMark/>
          </w:tcPr>
          <w:p w14:paraId="62E5BE9F"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(4,032)</w:t>
            </w:r>
          </w:p>
        </w:tc>
        <w:tc>
          <w:tcPr>
            <w:tcW w:w="521" w:type="dxa"/>
            <w:tcBorders>
              <w:top w:val="nil"/>
              <w:left w:val="nil"/>
              <w:bottom w:val="nil"/>
              <w:right w:val="nil"/>
            </w:tcBorders>
            <w:shd w:val="clear" w:color="auto" w:fill="auto"/>
            <w:noWrap/>
            <w:vAlign w:val="bottom"/>
            <w:hideMark/>
          </w:tcPr>
          <w:p w14:paraId="22CEB627"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single" w:sz="4" w:space="0" w:color="3C3C3C"/>
              <w:right w:val="nil"/>
            </w:tcBorders>
            <w:shd w:val="clear" w:color="auto" w:fill="auto"/>
            <w:noWrap/>
            <w:vAlign w:val="bottom"/>
            <w:hideMark/>
          </w:tcPr>
          <w:p w14:paraId="6F2EA838"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767 </w:t>
            </w:r>
          </w:p>
        </w:tc>
        <w:tc>
          <w:tcPr>
            <w:tcW w:w="950" w:type="dxa"/>
            <w:tcBorders>
              <w:top w:val="nil"/>
              <w:left w:val="nil"/>
              <w:bottom w:val="nil"/>
              <w:right w:val="nil"/>
            </w:tcBorders>
            <w:shd w:val="clear" w:color="auto" w:fill="auto"/>
            <w:noWrap/>
            <w:vAlign w:val="bottom"/>
            <w:hideMark/>
          </w:tcPr>
          <w:p w14:paraId="6BF85311"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0C4F4229" w14:textId="77777777" w:rsidTr="003E483D">
        <w:trPr>
          <w:trHeight w:val="315"/>
        </w:trPr>
        <w:tc>
          <w:tcPr>
            <w:tcW w:w="3924" w:type="dxa"/>
            <w:tcBorders>
              <w:top w:val="nil"/>
              <w:left w:val="nil"/>
              <w:bottom w:val="nil"/>
              <w:right w:val="nil"/>
            </w:tcBorders>
            <w:shd w:val="clear" w:color="auto" w:fill="auto"/>
            <w:noWrap/>
            <w:vAlign w:val="bottom"/>
            <w:hideMark/>
          </w:tcPr>
          <w:p w14:paraId="46F75FEA"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1B277F28"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5545F1A1"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77538DFE"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5B7B47AD"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2379A22C" w14:textId="77777777" w:rsidR="003E483D" w:rsidRPr="002B2821" w:rsidRDefault="003E483D" w:rsidP="003E483D">
            <w:pPr>
              <w:spacing w:after="0" w:line="240" w:lineRule="auto"/>
              <w:rPr>
                <w:lang w:eastAsia="en-GB"/>
              </w:rPr>
            </w:pPr>
          </w:p>
        </w:tc>
      </w:tr>
      <w:tr w:rsidR="003E483D" w:rsidRPr="002B2821" w14:paraId="36715FA3" w14:textId="77777777" w:rsidTr="003E483D">
        <w:trPr>
          <w:trHeight w:val="315"/>
        </w:trPr>
        <w:tc>
          <w:tcPr>
            <w:tcW w:w="3924" w:type="dxa"/>
            <w:tcBorders>
              <w:top w:val="nil"/>
              <w:left w:val="nil"/>
              <w:bottom w:val="nil"/>
              <w:right w:val="nil"/>
            </w:tcBorders>
            <w:shd w:val="clear" w:color="auto" w:fill="auto"/>
            <w:noWrap/>
            <w:vAlign w:val="bottom"/>
            <w:hideMark/>
          </w:tcPr>
          <w:p w14:paraId="57A9E002"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Total assets less current liabilities</w:t>
            </w:r>
          </w:p>
        </w:tc>
        <w:tc>
          <w:tcPr>
            <w:tcW w:w="672" w:type="dxa"/>
            <w:tcBorders>
              <w:top w:val="nil"/>
              <w:left w:val="nil"/>
              <w:bottom w:val="nil"/>
              <w:right w:val="nil"/>
            </w:tcBorders>
            <w:shd w:val="clear" w:color="auto" w:fill="auto"/>
            <w:noWrap/>
            <w:vAlign w:val="bottom"/>
            <w:hideMark/>
          </w:tcPr>
          <w:p w14:paraId="2B0380A6"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406B2491"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163,991 </w:t>
            </w:r>
          </w:p>
        </w:tc>
        <w:tc>
          <w:tcPr>
            <w:tcW w:w="521" w:type="dxa"/>
            <w:tcBorders>
              <w:top w:val="nil"/>
              <w:left w:val="nil"/>
              <w:bottom w:val="nil"/>
              <w:right w:val="nil"/>
            </w:tcBorders>
            <w:shd w:val="clear" w:color="auto" w:fill="auto"/>
            <w:noWrap/>
            <w:vAlign w:val="bottom"/>
            <w:hideMark/>
          </w:tcPr>
          <w:p w14:paraId="6966945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1F56646A"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158,901 </w:t>
            </w:r>
          </w:p>
        </w:tc>
        <w:tc>
          <w:tcPr>
            <w:tcW w:w="950" w:type="dxa"/>
            <w:tcBorders>
              <w:top w:val="nil"/>
              <w:left w:val="nil"/>
              <w:bottom w:val="nil"/>
              <w:right w:val="nil"/>
            </w:tcBorders>
            <w:shd w:val="clear" w:color="auto" w:fill="auto"/>
            <w:noWrap/>
            <w:vAlign w:val="bottom"/>
            <w:hideMark/>
          </w:tcPr>
          <w:p w14:paraId="50570BED"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431F2E53" w14:textId="77777777" w:rsidTr="003E483D">
        <w:trPr>
          <w:trHeight w:val="315"/>
        </w:trPr>
        <w:tc>
          <w:tcPr>
            <w:tcW w:w="3924" w:type="dxa"/>
            <w:tcBorders>
              <w:top w:val="nil"/>
              <w:left w:val="nil"/>
              <w:bottom w:val="nil"/>
              <w:right w:val="nil"/>
            </w:tcBorders>
            <w:shd w:val="clear" w:color="auto" w:fill="auto"/>
            <w:noWrap/>
            <w:vAlign w:val="bottom"/>
            <w:hideMark/>
          </w:tcPr>
          <w:p w14:paraId="366EB034"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4F6A9960"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478AD396"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33E407EC"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4E10A7D3"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7003213E" w14:textId="77777777" w:rsidR="003E483D" w:rsidRPr="002B2821" w:rsidRDefault="003E483D" w:rsidP="003E483D">
            <w:pPr>
              <w:spacing w:after="0" w:line="240" w:lineRule="auto"/>
              <w:rPr>
                <w:lang w:eastAsia="en-GB"/>
              </w:rPr>
            </w:pPr>
          </w:p>
        </w:tc>
      </w:tr>
      <w:tr w:rsidR="003E483D" w:rsidRPr="002B2821" w14:paraId="43E4589A" w14:textId="77777777" w:rsidTr="003E483D">
        <w:trPr>
          <w:trHeight w:val="315"/>
        </w:trPr>
        <w:tc>
          <w:tcPr>
            <w:tcW w:w="3924" w:type="dxa"/>
            <w:tcBorders>
              <w:top w:val="nil"/>
              <w:left w:val="nil"/>
              <w:bottom w:val="nil"/>
              <w:right w:val="nil"/>
            </w:tcBorders>
            <w:shd w:val="clear" w:color="auto" w:fill="auto"/>
            <w:noWrap/>
            <w:vAlign w:val="bottom"/>
            <w:hideMark/>
          </w:tcPr>
          <w:p w14:paraId="1E410816"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Creditors: amounts falling due</w:t>
            </w:r>
          </w:p>
        </w:tc>
        <w:tc>
          <w:tcPr>
            <w:tcW w:w="672" w:type="dxa"/>
            <w:tcBorders>
              <w:top w:val="nil"/>
              <w:left w:val="nil"/>
              <w:bottom w:val="nil"/>
              <w:right w:val="nil"/>
            </w:tcBorders>
            <w:shd w:val="clear" w:color="auto" w:fill="auto"/>
            <w:noWrap/>
            <w:vAlign w:val="bottom"/>
            <w:hideMark/>
          </w:tcPr>
          <w:p w14:paraId="3FDFF6FA"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0E12BD80"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7FFC8175"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14FF5AEB"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234FB520" w14:textId="77777777" w:rsidR="003E483D" w:rsidRPr="002B2821" w:rsidRDefault="003E483D" w:rsidP="003E483D">
            <w:pPr>
              <w:spacing w:after="0" w:line="240" w:lineRule="auto"/>
              <w:rPr>
                <w:lang w:eastAsia="en-GB"/>
              </w:rPr>
            </w:pPr>
          </w:p>
        </w:tc>
      </w:tr>
      <w:tr w:rsidR="003E483D" w:rsidRPr="002B2821" w14:paraId="73775764" w14:textId="77777777" w:rsidTr="003E483D">
        <w:trPr>
          <w:trHeight w:val="315"/>
        </w:trPr>
        <w:tc>
          <w:tcPr>
            <w:tcW w:w="3924" w:type="dxa"/>
            <w:tcBorders>
              <w:top w:val="nil"/>
              <w:left w:val="nil"/>
              <w:bottom w:val="nil"/>
              <w:right w:val="nil"/>
            </w:tcBorders>
            <w:shd w:val="clear" w:color="auto" w:fill="auto"/>
            <w:noWrap/>
            <w:vAlign w:val="bottom"/>
            <w:hideMark/>
          </w:tcPr>
          <w:p w14:paraId="2A27ECD4"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after more than one year</w:t>
            </w:r>
          </w:p>
        </w:tc>
        <w:tc>
          <w:tcPr>
            <w:tcW w:w="672" w:type="dxa"/>
            <w:tcBorders>
              <w:top w:val="nil"/>
              <w:left w:val="nil"/>
              <w:bottom w:val="nil"/>
              <w:right w:val="nil"/>
            </w:tcBorders>
            <w:shd w:val="clear" w:color="auto" w:fill="auto"/>
            <w:noWrap/>
            <w:vAlign w:val="bottom"/>
            <w:hideMark/>
          </w:tcPr>
          <w:p w14:paraId="58B55589"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3F9F3E6A" w14:textId="7F7757E4"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 </w:t>
            </w:r>
          </w:p>
        </w:tc>
        <w:tc>
          <w:tcPr>
            <w:tcW w:w="521" w:type="dxa"/>
            <w:tcBorders>
              <w:top w:val="nil"/>
              <w:left w:val="nil"/>
              <w:bottom w:val="nil"/>
              <w:right w:val="nil"/>
            </w:tcBorders>
            <w:shd w:val="clear" w:color="auto" w:fill="auto"/>
            <w:noWrap/>
            <w:vAlign w:val="bottom"/>
            <w:hideMark/>
          </w:tcPr>
          <w:p w14:paraId="5B2A3396"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7D09DB7A" w14:textId="1583A704"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w:t>
            </w:r>
          </w:p>
        </w:tc>
        <w:tc>
          <w:tcPr>
            <w:tcW w:w="950" w:type="dxa"/>
            <w:tcBorders>
              <w:top w:val="nil"/>
              <w:left w:val="nil"/>
              <w:bottom w:val="nil"/>
              <w:right w:val="nil"/>
            </w:tcBorders>
            <w:shd w:val="clear" w:color="auto" w:fill="auto"/>
            <w:noWrap/>
            <w:vAlign w:val="bottom"/>
            <w:hideMark/>
          </w:tcPr>
          <w:p w14:paraId="7E35DD4A"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7FD1F9C8" w14:textId="77777777" w:rsidTr="003E483D">
        <w:trPr>
          <w:trHeight w:val="315"/>
        </w:trPr>
        <w:tc>
          <w:tcPr>
            <w:tcW w:w="3924" w:type="dxa"/>
            <w:tcBorders>
              <w:top w:val="nil"/>
              <w:left w:val="nil"/>
              <w:bottom w:val="nil"/>
              <w:right w:val="nil"/>
            </w:tcBorders>
            <w:shd w:val="clear" w:color="auto" w:fill="auto"/>
            <w:noWrap/>
            <w:vAlign w:val="bottom"/>
            <w:hideMark/>
          </w:tcPr>
          <w:p w14:paraId="12E30EF1"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2BC0FACF"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2562A713"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54B04F81"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0AE6EC45"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5802D5D4" w14:textId="77777777" w:rsidR="003E483D" w:rsidRPr="002B2821" w:rsidRDefault="003E483D" w:rsidP="003E483D">
            <w:pPr>
              <w:spacing w:after="0" w:line="240" w:lineRule="auto"/>
              <w:rPr>
                <w:lang w:eastAsia="en-GB"/>
              </w:rPr>
            </w:pPr>
          </w:p>
        </w:tc>
      </w:tr>
      <w:tr w:rsidR="003E483D" w:rsidRPr="002B2821" w14:paraId="6B8047F0" w14:textId="77777777" w:rsidTr="003E483D">
        <w:trPr>
          <w:trHeight w:val="315"/>
        </w:trPr>
        <w:tc>
          <w:tcPr>
            <w:tcW w:w="3924" w:type="dxa"/>
            <w:tcBorders>
              <w:top w:val="nil"/>
              <w:left w:val="nil"/>
              <w:bottom w:val="nil"/>
              <w:right w:val="nil"/>
            </w:tcBorders>
            <w:shd w:val="clear" w:color="auto" w:fill="auto"/>
            <w:noWrap/>
            <w:vAlign w:val="bottom"/>
            <w:hideMark/>
          </w:tcPr>
          <w:p w14:paraId="356870B5"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Net Assets</w:t>
            </w:r>
          </w:p>
        </w:tc>
        <w:tc>
          <w:tcPr>
            <w:tcW w:w="672" w:type="dxa"/>
            <w:tcBorders>
              <w:top w:val="nil"/>
              <w:left w:val="nil"/>
              <w:bottom w:val="nil"/>
              <w:right w:val="nil"/>
            </w:tcBorders>
            <w:shd w:val="clear" w:color="auto" w:fill="auto"/>
            <w:noWrap/>
            <w:vAlign w:val="bottom"/>
            <w:hideMark/>
          </w:tcPr>
          <w:p w14:paraId="02B89DC2"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single" w:sz="4" w:space="0" w:color="000000"/>
              <w:left w:val="nil"/>
              <w:bottom w:val="single" w:sz="4" w:space="0" w:color="000000"/>
              <w:right w:val="nil"/>
            </w:tcBorders>
            <w:shd w:val="clear" w:color="auto" w:fill="auto"/>
            <w:noWrap/>
            <w:vAlign w:val="bottom"/>
            <w:hideMark/>
          </w:tcPr>
          <w:p w14:paraId="7F88D252"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163,991 </w:t>
            </w:r>
          </w:p>
        </w:tc>
        <w:tc>
          <w:tcPr>
            <w:tcW w:w="521" w:type="dxa"/>
            <w:tcBorders>
              <w:top w:val="nil"/>
              <w:left w:val="nil"/>
              <w:bottom w:val="nil"/>
              <w:right w:val="nil"/>
            </w:tcBorders>
            <w:shd w:val="clear" w:color="auto" w:fill="auto"/>
            <w:noWrap/>
            <w:vAlign w:val="bottom"/>
            <w:hideMark/>
          </w:tcPr>
          <w:p w14:paraId="3EF9927F"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000000"/>
              <w:left w:val="nil"/>
              <w:bottom w:val="single" w:sz="4" w:space="0" w:color="000000"/>
              <w:right w:val="nil"/>
            </w:tcBorders>
            <w:shd w:val="clear" w:color="auto" w:fill="auto"/>
            <w:noWrap/>
            <w:vAlign w:val="bottom"/>
            <w:hideMark/>
          </w:tcPr>
          <w:p w14:paraId="0775E28A"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158,901 </w:t>
            </w:r>
          </w:p>
        </w:tc>
        <w:tc>
          <w:tcPr>
            <w:tcW w:w="950" w:type="dxa"/>
            <w:tcBorders>
              <w:top w:val="nil"/>
              <w:left w:val="nil"/>
              <w:bottom w:val="nil"/>
              <w:right w:val="nil"/>
            </w:tcBorders>
            <w:shd w:val="clear" w:color="auto" w:fill="auto"/>
            <w:noWrap/>
            <w:vAlign w:val="bottom"/>
            <w:hideMark/>
          </w:tcPr>
          <w:p w14:paraId="508077C9"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0AAADFBC" w14:textId="77777777" w:rsidTr="003E483D">
        <w:trPr>
          <w:trHeight w:val="315"/>
        </w:trPr>
        <w:tc>
          <w:tcPr>
            <w:tcW w:w="3924" w:type="dxa"/>
            <w:tcBorders>
              <w:top w:val="nil"/>
              <w:left w:val="nil"/>
              <w:bottom w:val="nil"/>
              <w:right w:val="nil"/>
            </w:tcBorders>
            <w:shd w:val="clear" w:color="auto" w:fill="auto"/>
            <w:noWrap/>
            <w:vAlign w:val="bottom"/>
            <w:hideMark/>
          </w:tcPr>
          <w:p w14:paraId="3354ADEF"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52A18B74"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1A6FD4FB"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4F4A73FB"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76503301"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7DC1B0DC" w14:textId="77777777" w:rsidR="003E483D" w:rsidRPr="002B2821" w:rsidRDefault="003E483D" w:rsidP="003E483D">
            <w:pPr>
              <w:spacing w:after="0" w:line="240" w:lineRule="auto"/>
              <w:rPr>
                <w:lang w:eastAsia="en-GB"/>
              </w:rPr>
            </w:pPr>
          </w:p>
        </w:tc>
      </w:tr>
      <w:tr w:rsidR="003E483D" w:rsidRPr="002B2821" w14:paraId="4F1C8113" w14:textId="77777777" w:rsidTr="003E483D">
        <w:trPr>
          <w:trHeight w:val="315"/>
        </w:trPr>
        <w:tc>
          <w:tcPr>
            <w:tcW w:w="3924" w:type="dxa"/>
            <w:tcBorders>
              <w:top w:val="nil"/>
              <w:left w:val="nil"/>
              <w:bottom w:val="nil"/>
              <w:right w:val="nil"/>
            </w:tcBorders>
            <w:shd w:val="clear" w:color="auto" w:fill="auto"/>
            <w:noWrap/>
            <w:vAlign w:val="bottom"/>
            <w:hideMark/>
          </w:tcPr>
          <w:p w14:paraId="5855F3DB" w14:textId="77777777" w:rsidR="003E483D" w:rsidRPr="002B2821" w:rsidRDefault="003E483D" w:rsidP="003E483D">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Trust Funds</w:t>
            </w:r>
          </w:p>
        </w:tc>
        <w:tc>
          <w:tcPr>
            <w:tcW w:w="672" w:type="dxa"/>
            <w:tcBorders>
              <w:top w:val="nil"/>
              <w:left w:val="nil"/>
              <w:bottom w:val="nil"/>
              <w:right w:val="nil"/>
            </w:tcBorders>
            <w:shd w:val="clear" w:color="auto" w:fill="auto"/>
            <w:noWrap/>
            <w:vAlign w:val="bottom"/>
            <w:hideMark/>
          </w:tcPr>
          <w:p w14:paraId="7478FA1D" w14:textId="77777777" w:rsidR="003E483D" w:rsidRPr="002B2821" w:rsidRDefault="003E483D" w:rsidP="003E483D">
            <w:pPr>
              <w:spacing w:after="0" w:line="240" w:lineRule="auto"/>
              <w:rPr>
                <w:rFonts w:ascii="Calibri" w:hAnsi="Calibri" w:cs="Arial"/>
                <w:b/>
                <w:bCs/>
                <w:color w:val="000000"/>
                <w:sz w:val="24"/>
                <w:szCs w:val="24"/>
                <w:lang w:eastAsia="en-GB"/>
              </w:rPr>
            </w:pPr>
          </w:p>
        </w:tc>
        <w:tc>
          <w:tcPr>
            <w:tcW w:w="1405" w:type="dxa"/>
            <w:tcBorders>
              <w:top w:val="nil"/>
              <w:left w:val="nil"/>
              <w:bottom w:val="nil"/>
              <w:right w:val="nil"/>
            </w:tcBorders>
            <w:shd w:val="clear" w:color="auto" w:fill="auto"/>
            <w:noWrap/>
            <w:vAlign w:val="bottom"/>
            <w:hideMark/>
          </w:tcPr>
          <w:p w14:paraId="60201768"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4A2EC7C6"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7FB2CC58"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09564EDF" w14:textId="77777777" w:rsidR="003E483D" w:rsidRPr="002B2821" w:rsidRDefault="003E483D" w:rsidP="003E483D">
            <w:pPr>
              <w:spacing w:after="0" w:line="240" w:lineRule="auto"/>
              <w:rPr>
                <w:lang w:eastAsia="en-GB"/>
              </w:rPr>
            </w:pPr>
          </w:p>
        </w:tc>
      </w:tr>
      <w:tr w:rsidR="003E483D" w:rsidRPr="002B2821" w14:paraId="2501C9D1" w14:textId="77777777" w:rsidTr="003E483D">
        <w:trPr>
          <w:trHeight w:val="315"/>
        </w:trPr>
        <w:tc>
          <w:tcPr>
            <w:tcW w:w="3924" w:type="dxa"/>
            <w:tcBorders>
              <w:top w:val="nil"/>
              <w:left w:val="nil"/>
              <w:bottom w:val="nil"/>
              <w:right w:val="nil"/>
            </w:tcBorders>
            <w:shd w:val="clear" w:color="auto" w:fill="auto"/>
            <w:noWrap/>
            <w:vAlign w:val="bottom"/>
            <w:hideMark/>
          </w:tcPr>
          <w:p w14:paraId="13909B5C"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General fund</w:t>
            </w:r>
          </w:p>
        </w:tc>
        <w:tc>
          <w:tcPr>
            <w:tcW w:w="672" w:type="dxa"/>
            <w:tcBorders>
              <w:top w:val="nil"/>
              <w:left w:val="nil"/>
              <w:bottom w:val="nil"/>
              <w:right w:val="nil"/>
            </w:tcBorders>
            <w:shd w:val="clear" w:color="auto" w:fill="auto"/>
            <w:noWrap/>
            <w:vAlign w:val="bottom"/>
            <w:hideMark/>
          </w:tcPr>
          <w:p w14:paraId="2DA4C9A7"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405" w:type="dxa"/>
            <w:tcBorders>
              <w:top w:val="nil"/>
              <w:left w:val="nil"/>
              <w:bottom w:val="nil"/>
              <w:right w:val="nil"/>
            </w:tcBorders>
            <w:shd w:val="clear" w:color="auto" w:fill="auto"/>
            <w:noWrap/>
            <w:vAlign w:val="bottom"/>
            <w:hideMark/>
          </w:tcPr>
          <w:p w14:paraId="25D8CC1C"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157,746 </w:t>
            </w:r>
          </w:p>
        </w:tc>
        <w:tc>
          <w:tcPr>
            <w:tcW w:w="521" w:type="dxa"/>
            <w:tcBorders>
              <w:top w:val="nil"/>
              <w:left w:val="nil"/>
              <w:bottom w:val="nil"/>
              <w:right w:val="nil"/>
            </w:tcBorders>
            <w:shd w:val="clear" w:color="auto" w:fill="auto"/>
            <w:noWrap/>
            <w:vAlign w:val="bottom"/>
            <w:hideMark/>
          </w:tcPr>
          <w:p w14:paraId="091B09BE"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6D518102"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150,621 </w:t>
            </w:r>
          </w:p>
        </w:tc>
        <w:tc>
          <w:tcPr>
            <w:tcW w:w="950" w:type="dxa"/>
            <w:tcBorders>
              <w:top w:val="nil"/>
              <w:left w:val="nil"/>
              <w:bottom w:val="nil"/>
              <w:right w:val="nil"/>
            </w:tcBorders>
            <w:shd w:val="clear" w:color="auto" w:fill="auto"/>
            <w:noWrap/>
            <w:vAlign w:val="bottom"/>
            <w:hideMark/>
          </w:tcPr>
          <w:p w14:paraId="6ACF1266"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33179FFD" w14:textId="77777777" w:rsidTr="003E483D">
        <w:trPr>
          <w:trHeight w:val="315"/>
        </w:trPr>
        <w:tc>
          <w:tcPr>
            <w:tcW w:w="3924" w:type="dxa"/>
            <w:tcBorders>
              <w:top w:val="nil"/>
              <w:left w:val="nil"/>
              <w:bottom w:val="nil"/>
              <w:right w:val="nil"/>
            </w:tcBorders>
            <w:shd w:val="clear" w:color="auto" w:fill="auto"/>
            <w:noWrap/>
            <w:vAlign w:val="bottom"/>
            <w:hideMark/>
          </w:tcPr>
          <w:p w14:paraId="50A82D05"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Beneficiary Memorandum Accounts</w:t>
            </w:r>
          </w:p>
        </w:tc>
        <w:tc>
          <w:tcPr>
            <w:tcW w:w="672" w:type="dxa"/>
            <w:tcBorders>
              <w:top w:val="nil"/>
              <w:left w:val="nil"/>
              <w:bottom w:val="nil"/>
              <w:right w:val="nil"/>
            </w:tcBorders>
            <w:shd w:val="clear" w:color="auto" w:fill="auto"/>
            <w:noWrap/>
            <w:vAlign w:val="bottom"/>
            <w:hideMark/>
          </w:tcPr>
          <w:p w14:paraId="5ED3E757"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10,11</w:t>
            </w:r>
          </w:p>
        </w:tc>
        <w:tc>
          <w:tcPr>
            <w:tcW w:w="1405" w:type="dxa"/>
            <w:tcBorders>
              <w:top w:val="nil"/>
              <w:left w:val="nil"/>
              <w:bottom w:val="single" w:sz="4" w:space="0" w:color="000000"/>
              <w:right w:val="nil"/>
            </w:tcBorders>
            <w:shd w:val="clear" w:color="auto" w:fill="auto"/>
            <w:noWrap/>
            <w:vAlign w:val="bottom"/>
            <w:hideMark/>
          </w:tcPr>
          <w:p w14:paraId="025EDC3C"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6,681 </w:t>
            </w:r>
          </w:p>
        </w:tc>
        <w:tc>
          <w:tcPr>
            <w:tcW w:w="521" w:type="dxa"/>
            <w:tcBorders>
              <w:top w:val="nil"/>
              <w:left w:val="nil"/>
              <w:bottom w:val="nil"/>
              <w:right w:val="nil"/>
            </w:tcBorders>
            <w:shd w:val="clear" w:color="auto" w:fill="auto"/>
            <w:noWrap/>
            <w:vAlign w:val="bottom"/>
            <w:hideMark/>
          </w:tcPr>
          <w:p w14:paraId="0C33A54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3458EA44"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8,865 </w:t>
            </w:r>
          </w:p>
        </w:tc>
        <w:tc>
          <w:tcPr>
            <w:tcW w:w="950" w:type="dxa"/>
            <w:tcBorders>
              <w:top w:val="nil"/>
              <w:left w:val="nil"/>
              <w:bottom w:val="nil"/>
              <w:right w:val="nil"/>
            </w:tcBorders>
            <w:shd w:val="clear" w:color="auto" w:fill="auto"/>
            <w:noWrap/>
            <w:vAlign w:val="bottom"/>
            <w:hideMark/>
          </w:tcPr>
          <w:p w14:paraId="52201021"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7566BF2E" w14:textId="77777777" w:rsidTr="003E483D">
        <w:trPr>
          <w:trHeight w:val="315"/>
        </w:trPr>
        <w:tc>
          <w:tcPr>
            <w:tcW w:w="3924" w:type="dxa"/>
            <w:tcBorders>
              <w:top w:val="nil"/>
              <w:left w:val="nil"/>
              <w:bottom w:val="nil"/>
              <w:right w:val="nil"/>
            </w:tcBorders>
            <w:shd w:val="clear" w:color="auto" w:fill="auto"/>
            <w:noWrap/>
            <w:vAlign w:val="bottom"/>
            <w:hideMark/>
          </w:tcPr>
          <w:p w14:paraId="2C616E8D"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30DACF32"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554B7EF0"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164,427 </w:t>
            </w:r>
          </w:p>
        </w:tc>
        <w:tc>
          <w:tcPr>
            <w:tcW w:w="521" w:type="dxa"/>
            <w:tcBorders>
              <w:top w:val="nil"/>
              <w:left w:val="nil"/>
              <w:bottom w:val="nil"/>
              <w:right w:val="nil"/>
            </w:tcBorders>
            <w:shd w:val="clear" w:color="auto" w:fill="auto"/>
            <w:noWrap/>
            <w:vAlign w:val="bottom"/>
            <w:hideMark/>
          </w:tcPr>
          <w:p w14:paraId="4C51ABDB"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3C3C3C"/>
              <w:left w:val="nil"/>
              <w:bottom w:val="nil"/>
              <w:right w:val="nil"/>
            </w:tcBorders>
            <w:shd w:val="clear" w:color="auto" w:fill="auto"/>
            <w:noWrap/>
            <w:vAlign w:val="bottom"/>
            <w:hideMark/>
          </w:tcPr>
          <w:p w14:paraId="743AD542"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159,486 </w:t>
            </w:r>
          </w:p>
        </w:tc>
        <w:tc>
          <w:tcPr>
            <w:tcW w:w="950" w:type="dxa"/>
            <w:tcBorders>
              <w:top w:val="nil"/>
              <w:left w:val="nil"/>
              <w:bottom w:val="nil"/>
              <w:right w:val="nil"/>
            </w:tcBorders>
            <w:shd w:val="clear" w:color="auto" w:fill="auto"/>
            <w:noWrap/>
            <w:vAlign w:val="bottom"/>
            <w:hideMark/>
          </w:tcPr>
          <w:p w14:paraId="101449FA"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2F0D3A9B" w14:textId="77777777" w:rsidTr="003E483D">
        <w:trPr>
          <w:trHeight w:val="315"/>
        </w:trPr>
        <w:tc>
          <w:tcPr>
            <w:tcW w:w="3924" w:type="dxa"/>
            <w:tcBorders>
              <w:top w:val="nil"/>
              <w:left w:val="nil"/>
              <w:bottom w:val="nil"/>
              <w:right w:val="nil"/>
            </w:tcBorders>
            <w:shd w:val="clear" w:color="auto" w:fill="auto"/>
            <w:noWrap/>
            <w:vAlign w:val="bottom"/>
            <w:hideMark/>
          </w:tcPr>
          <w:p w14:paraId="01C12CDE" w14:textId="77777777" w:rsidR="003E483D" w:rsidRPr="002B2821" w:rsidRDefault="003E483D" w:rsidP="003E483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Restricted fund</w:t>
            </w:r>
          </w:p>
        </w:tc>
        <w:tc>
          <w:tcPr>
            <w:tcW w:w="672" w:type="dxa"/>
            <w:tcBorders>
              <w:top w:val="nil"/>
              <w:left w:val="nil"/>
              <w:bottom w:val="nil"/>
              <w:right w:val="nil"/>
            </w:tcBorders>
            <w:shd w:val="clear" w:color="auto" w:fill="auto"/>
            <w:noWrap/>
            <w:vAlign w:val="bottom"/>
            <w:hideMark/>
          </w:tcPr>
          <w:p w14:paraId="6AE2FC84" w14:textId="77777777" w:rsidR="003E483D" w:rsidRPr="002B2821" w:rsidRDefault="003E483D" w:rsidP="003E483D">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405" w:type="dxa"/>
            <w:tcBorders>
              <w:top w:val="nil"/>
              <w:left w:val="nil"/>
              <w:bottom w:val="nil"/>
              <w:right w:val="nil"/>
            </w:tcBorders>
            <w:shd w:val="clear" w:color="auto" w:fill="auto"/>
            <w:noWrap/>
            <w:vAlign w:val="bottom"/>
            <w:hideMark/>
          </w:tcPr>
          <w:p w14:paraId="20FE32D1"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(436)</w:t>
            </w:r>
          </w:p>
        </w:tc>
        <w:tc>
          <w:tcPr>
            <w:tcW w:w="521" w:type="dxa"/>
            <w:tcBorders>
              <w:top w:val="nil"/>
              <w:left w:val="nil"/>
              <w:bottom w:val="nil"/>
              <w:right w:val="nil"/>
            </w:tcBorders>
            <w:shd w:val="clear" w:color="auto" w:fill="auto"/>
            <w:noWrap/>
            <w:vAlign w:val="bottom"/>
            <w:hideMark/>
          </w:tcPr>
          <w:p w14:paraId="52F044D5"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668D6F1A"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(585)</w:t>
            </w:r>
          </w:p>
        </w:tc>
        <w:tc>
          <w:tcPr>
            <w:tcW w:w="950" w:type="dxa"/>
            <w:tcBorders>
              <w:top w:val="nil"/>
              <w:left w:val="nil"/>
              <w:bottom w:val="nil"/>
              <w:right w:val="nil"/>
            </w:tcBorders>
            <w:shd w:val="clear" w:color="auto" w:fill="auto"/>
            <w:noWrap/>
            <w:vAlign w:val="bottom"/>
            <w:hideMark/>
          </w:tcPr>
          <w:p w14:paraId="5AEC1C79"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5FE0D054" w14:textId="77777777" w:rsidTr="003E483D">
        <w:trPr>
          <w:trHeight w:val="315"/>
        </w:trPr>
        <w:tc>
          <w:tcPr>
            <w:tcW w:w="3924" w:type="dxa"/>
            <w:tcBorders>
              <w:top w:val="nil"/>
              <w:left w:val="nil"/>
              <w:bottom w:val="nil"/>
              <w:right w:val="nil"/>
            </w:tcBorders>
            <w:shd w:val="clear" w:color="auto" w:fill="auto"/>
            <w:noWrap/>
            <w:vAlign w:val="bottom"/>
            <w:hideMark/>
          </w:tcPr>
          <w:p w14:paraId="0BE63AFB"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1A715EC4" w14:textId="77777777" w:rsidR="003E483D" w:rsidRPr="002B2821" w:rsidRDefault="003E483D" w:rsidP="003E483D">
            <w:pPr>
              <w:spacing w:after="0" w:line="240" w:lineRule="auto"/>
              <w:rPr>
                <w:lang w:eastAsia="en-GB"/>
              </w:rPr>
            </w:pPr>
          </w:p>
        </w:tc>
        <w:tc>
          <w:tcPr>
            <w:tcW w:w="1405" w:type="dxa"/>
            <w:tcBorders>
              <w:top w:val="single" w:sz="4" w:space="0" w:color="000000"/>
              <w:left w:val="nil"/>
              <w:bottom w:val="single" w:sz="4" w:space="0" w:color="000000"/>
              <w:right w:val="nil"/>
            </w:tcBorders>
            <w:shd w:val="clear" w:color="auto" w:fill="auto"/>
            <w:noWrap/>
            <w:vAlign w:val="bottom"/>
            <w:hideMark/>
          </w:tcPr>
          <w:p w14:paraId="0A4D45CB" w14:textId="77777777" w:rsidR="003E483D" w:rsidRPr="002B2821" w:rsidRDefault="003E483D" w:rsidP="003E483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163,991 </w:t>
            </w:r>
          </w:p>
        </w:tc>
        <w:tc>
          <w:tcPr>
            <w:tcW w:w="521" w:type="dxa"/>
            <w:tcBorders>
              <w:top w:val="nil"/>
              <w:left w:val="nil"/>
              <w:bottom w:val="nil"/>
              <w:right w:val="nil"/>
            </w:tcBorders>
            <w:shd w:val="clear" w:color="auto" w:fill="auto"/>
            <w:noWrap/>
            <w:vAlign w:val="bottom"/>
            <w:hideMark/>
          </w:tcPr>
          <w:p w14:paraId="517B4640" w14:textId="77777777" w:rsidR="003E483D" w:rsidRPr="002B2821" w:rsidRDefault="003E483D" w:rsidP="003E483D">
            <w:pPr>
              <w:spacing w:after="0" w:line="240" w:lineRule="auto"/>
              <w:jc w:val="right"/>
              <w:rPr>
                <w:rFonts w:ascii="Calibri" w:hAnsi="Calibri" w:cs="Arial"/>
                <w:b/>
                <w:bCs/>
                <w:color w:val="000000"/>
                <w:sz w:val="24"/>
                <w:szCs w:val="24"/>
                <w:lang w:eastAsia="en-GB"/>
              </w:rPr>
            </w:pPr>
          </w:p>
        </w:tc>
        <w:tc>
          <w:tcPr>
            <w:tcW w:w="1457" w:type="dxa"/>
            <w:tcBorders>
              <w:top w:val="single" w:sz="4" w:space="0" w:color="000000"/>
              <w:left w:val="nil"/>
              <w:bottom w:val="single" w:sz="4" w:space="0" w:color="000000"/>
              <w:right w:val="nil"/>
            </w:tcBorders>
            <w:shd w:val="clear" w:color="auto" w:fill="auto"/>
            <w:noWrap/>
            <w:vAlign w:val="bottom"/>
            <w:hideMark/>
          </w:tcPr>
          <w:p w14:paraId="0142E65C" w14:textId="77777777" w:rsidR="003E483D" w:rsidRPr="002B2821" w:rsidRDefault="003E483D" w:rsidP="003E483D">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158,901 </w:t>
            </w:r>
          </w:p>
        </w:tc>
        <w:tc>
          <w:tcPr>
            <w:tcW w:w="950" w:type="dxa"/>
            <w:tcBorders>
              <w:top w:val="nil"/>
              <w:left w:val="nil"/>
              <w:bottom w:val="nil"/>
              <w:right w:val="nil"/>
            </w:tcBorders>
            <w:shd w:val="clear" w:color="auto" w:fill="auto"/>
            <w:noWrap/>
            <w:vAlign w:val="bottom"/>
            <w:hideMark/>
          </w:tcPr>
          <w:p w14:paraId="7E8C1A7B" w14:textId="77777777" w:rsidR="003E483D" w:rsidRPr="002B2821" w:rsidRDefault="003E483D" w:rsidP="003E483D">
            <w:pPr>
              <w:spacing w:after="0" w:line="240" w:lineRule="auto"/>
              <w:jc w:val="right"/>
              <w:rPr>
                <w:rFonts w:ascii="Calibri" w:hAnsi="Calibri" w:cs="Arial"/>
                <w:color w:val="000000"/>
                <w:sz w:val="24"/>
                <w:szCs w:val="24"/>
                <w:lang w:eastAsia="en-GB"/>
              </w:rPr>
            </w:pPr>
          </w:p>
        </w:tc>
      </w:tr>
      <w:tr w:rsidR="003E483D" w:rsidRPr="002B2821" w14:paraId="273EDCAE" w14:textId="77777777" w:rsidTr="003E483D">
        <w:trPr>
          <w:trHeight w:val="315"/>
        </w:trPr>
        <w:tc>
          <w:tcPr>
            <w:tcW w:w="3924" w:type="dxa"/>
            <w:tcBorders>
              <w:top w:val="nil"/>
              <w:left w:val="nil"/>
              <w:bottom w:val="nil"/>
              <w:right w:val="nil"/>
            </w:tcBorders>
            <w:shd w:val="clear" w:color="auto" w:fill="auto"/>
            <w:noWrap/>
            <w:vAlign w:val="bottom"/>
            <w:hideMark/>
          </w:tcPr>
          <w:p w14:paraId="4EA4FE42" w14:textId="77777777" w:rsidR="003E483D" w:rsidRPr="002B2821" w:rsidRDefault="003E483D" w:rsidP="003E483D">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2ABAF85A" w14:textId="77777777" w:rsidR="003E483D" w:rsidRPr="002B2821" w:rsidRDefault="003E483D" w:rsidP="003E483D">
            <w:pPr>
              <w:spacing w:after="0" w:line="240" w:lineRule="auto"/>
              <w:rPr>
                <w:lang w:eastAsia="en-GB"/>
              </w:rPr>
            </w:pPr>
          </w:p>
        </w:tc>
        <w:tc>
          <w:tcPr>
            <w:tcW w:w="1405" w:type="dxa"/>
            <w:tcBorders>
              <w:top w:val="nil"/>
              <w:left w:val="nil"/>
              <w:bottom w:val="nil"/>
              <w:right w:val="nil"/>
            </w:tcBorders>
            <w:shd w:val="clear" w:color="auto" w:fill="auto"/>
            <w:noWrap/>
            <w:vAlign w:val="bottom"/>
            <w:hideMark/>
          </w:tcPr>
          <w:p w14:paraId="61D66E62" w14:textId="77777777" w:rsidR="003E483D" w:rsidRPr="002B2821" w:rsidRDefault="003E483D" w:rsidP="003E483D">
            <w:pPr>
              <w:spacing w:after="0" w:line="240" w:lineRule="auto"/>
              <w:jc w:val="center"/>
              <w:rPr>
                <w:lang w:eastAsia="en-GB"/>
              </w:rPr>
            </w:pPr>
          </w:p>
        </w:tc>
        <w:tc>
          <w:tcPr>
            <w:tcW w:w="521" w:type="dxa"/>
            <w:tcBorders>
              <w:top w:val="nil"/>
              <w:left w:val="nil"/>
              <w:bottom w:val="nil"/>
              <w:right w:val="nil"/>
            </w:tcBorders>
            <w:shd w:val="clear" w:color="auto" w:fill="auto"/>
            <w:noWrap/>
            <w:vAlign w:val="bottom"/>
            <w:hideMark/>
          </w:tcPr>
          <w:p w14:paraId="7A558FB2" w14:textId="77777777" w:rsidR="003E483D" w:rsidRPr="002B2821" w:rsidRDefault="003E483D" w:rsidP="003E483D">
            <w:pPr>
              <w:spacing w:after="0" w:line="240" w:lineRule="auto"/>
              <w:rPr>
                <w:lang w:eastAsia="en-GB"/>
              </w:rPr>
            </w:pPr>
          </w:p>
        </w:tc>
        <w:tc>
          <w:tcPr>
            <w:tcW w:w="1457" w:type="dxa"/>
            <w:tcBorders>
              <w:top w:val="nil"/>
              <w:left w:val="nil"/>
              <w:bottom w:val="nil"/>
              <w:right w:val="nil"/>
            </w:tcBorders>
            <w:shd w:val="clear" w:color="auto" w:fill="auto"/>
            <w:noWrap/>
            <w:vAlign w:val="bottom"/>
            <w:hideMark/>
          </w:tcPr>
          <w:p w14:paraId="3F76A7A9" w14:textId="77777777" w:rsidR="003E483D" w:rsidRPr="002B2821" w:rsidRDefault="003E483D" w:rsidP="003E483D">
            <w:pPr>
              <w:spacing w:after="0" w:line="240" w:lineRule="auto"/>
              <w:rPr>
                <w:lang w:eastAsia="en-GB"/>
              </w:rPr>
            </w:pPr>
          </w:p>
        </w:tc>
        <w:tc>
          <w:tcPr>
            <w:tcW w:w="950" w:type="dxa"/>
            <w:tcBorders>
              <w:top w:val="nil"/>
              <w:left w:val="nil"/>
              <w:bottom w:val="nil"/>
              <w:right w:val="nil"/>
            </w:tcBorders>
            <w:shd w:val="clear" w:color="auto" w:fill="auto"/>
            <w:noWrap/>
            <w:vAlign w:val="bottom"/>
            <w:hideMark/>
          </w:tcPr>
          <w:p w14:paraId="460ACBF2" w14:textId="77777777" w:rsidR="003E483D" w:rsidRPr="002B2821" w:rsidRDefault="003E483D" w:rsidP="003E483D">
            <w:pPr>
              <w:spacing w:after="0" w:line="240" w:lineRule="auto"/>
              <w:rPr>
                <w:lang w:eastAsia="en-GB"/>
              </w:rPr>
            </w:pPr>
          </w:p>
        </w:tc>
      </w:tr>
    </w:tbl>
    <w:p w14:paraId="65AC05E9" w14:textId="77777777" w:rsidR="00DB3254" w:rsidRPr="002B2821" w:rsidRDefault="00DB3254" w:rsidP="00847391">
      <w:pPr>
        <w:pStyle w:val="BodyText"/>
        <w:spacing w:after="0" w:line="240" w:lineRule="auto"/>
        <w:rPr>
          <w:rFonts w:asciiTheme="minorHAnsi" w:hAnsiTheme="minorHAnsi" w:cs="Arial"/>
          <w:b/>
          <w:color w:val="442359"/>
          <w:sz w:val="24"/>
          <w:szCs w:val="24"/>
        </w:rPr>
      </w:pPr>
    </w:p>
    <w:p w14:paraId="136BB27C" w14:textId="11974A0E" w:rsidR="00EF3537" w:rsidRPr="002B2821" w:rsidRDefault="00B1587C" w:rsidP="00096730">
      <w:pPr>
        <w:pStyle w:val="BodyText"/>
        <w:spacing w:after="0" w:line="240" w:lineRule="auto"/>
        <w:rPr>
          <w:rFonts w:asciiTheme="minorHAnsi" w:hAnsiTheme="minorHAnsi" w:cs="Arial"/>
          <w:sz w:val="24"/>
          <w:szCs w:val="24"/>
        </w:rPr>
      </w:pPr>
      <w:r w:rsidRPr="002B2821">
        <w:rPr>
          <w:rFonts w:asciiTheme="minorHAnsi" w:hAnsiTheme="minorHAnsi" w:cs="Arial"/>
          <w:sz w:val="24"/>
          <w:szCs w:val="24"/>
        </w:rPr>
        <w:t xml:space="preserve">The </w:t>
      </w:r>
      <w:r w:rsidR="00AE3568" w:rsidRPr="002B2821">
        <w:rPr>
          <w:rFonts w:asciiTheme="minorHAnsi" w:hAnsiTheme="minorHAnsi" w:cs="Arial"/>
          <w:sz w:val="24"/>
          <w:szCs w:val="24"/>
        </w:rPr>
        <w:t>financial statements</w:t>
      </w:r>
      <w:r w:rsidRPr="002B2821">
        <w:rPr>
          <w:rFonts w:asciiTheme="minorHAnsi" w:hAnsiTheme="minorHAnsi" w:cs="Arial"/>
          <w:sz w:val="24"/>
          <w:szCs w:val="24"/>
        </w:rPr>
        <w:t xml:space="preserve"> on p</w:t>
      </w:r>
      <w:r w:rsidR="009B4F48">
        <w:rPr>
          <w:rFonts w:asciiTheme="minorHAnsi" w:hAnsiTheme="minorHAnsi" w:cs="Arial"/>
          <w:sz w:val="24"/>
          <w:szCs w:val="24"/>
        </w:rPr>
        <w:t xml:space="preserve">ages </w:t>
      </w:r>
      <w:r w:rsidR="0056547A">
        <w:rPr>
          <w:rFonts w:asciiTheme="minorHAnsi" w:hAnsiTheme="minorHAnsi" w:cs="Arial"/>
          <w:sz w:val="24"/>
          <w:szCs w:val="24"/>
        </w:rPr>
        <w:t>1</w:t>
      </w:r>
      <w:r w:rsidR="000F00DE">
        <w:rPr>
          <w:rFonts w:asciiTheme="minorHAnsi" w:hAnsiTheme="minorHAnsi" w:cs="Arial"/>
          <w:sz w:val="24"/>
          <w:szCs w:val="24"/>
        </w:rPr>
        <w:t>7</w:t>
      </w:r>
      <w:r w:rsidR="00AA2EF0" w:rsidRPr="00983373">
        <w:rPr>
          <w:rFonts w:asciiTheme="minorHAnsi" w:hAnsiTheme="minorHAnsi" w:cs="Arial"/>
          <w:sz w:val="24"/>
          <w:szCs w:val="24"/>
        </w:rPr>
        <w:t xml:space="preserve"> </w:t>
      </w:r>
      <w:r w:rsidRPr="00983373">
        <w:rPr>
          <w:rFonts w:asciiTheme="minorHAnsi" w:hAnsiTheme="minorHAnsi" w:cs="Arial"/>
          <w:sz w:val="24"/>
          <w:szCs w:val="24"/>
        </w:rPr>
        <w:t xml:space="preserve">to </w:t>
      </w:r>
      <w:r w:rsidR="0056547A">
        <w:rPr>
          <w:rFonts w:asciiTheme="minorHAnsi" w:hAnsiTheme="minorHAnsi" w:cs="Arial"/>
          <w:sz w:val="24"/>
          <w:szCs w:val="24"/>
        </w:rPr>
        <w:t>3</w:t>
      </w:r>
      <w:r w:rsidR="000F00DE">
        <w:rPr>
          <w:rFonts w:asciiTheme="minorHAnsi" w:hAnsiTheme="minorHAnsi" w:cs="Arial"/>
          <w:sz w:val="24"/>
          <w:szCs w:val="24"/>
        </w:rPr>
        <w:t>4</w:t>
      </w:r>
      <w:r w:rsidRPr="002B2821">
        <w:rPr>
          <w:rFonts w:asciiTheme="minorHAnsi" w:hAnsiTheme="minorHAnsi" w:cs="Arial"/>
          <w:sz w:val="24"/>
          <w:szCs w:val="24"/>
        </w:rPr>
        <w:t xml:space="preserve"> were approved by the </w:t>
      </w:r>
      <w:r w:rsidR="00F80DAF">
        <w:rPr>
          <w:rFonts w:asciiTheme="minorHAnsi" w:hAnsiTheme="minorHAnsi" w:cs="Arial"/>
          <w:sz w:val="24"/>
          <w:szCs w:val="24"/>
        </w:rPr>
        <w:t xml:space="preserve">Board </w:t>
      </w:r>
      <w:r w:rsidRPr="002B2821">
        <w:rPr>
          <w:rFonts w:asciiTheme="minorHAnsi" w:hAnsiTheme="minorHAnsi" w:cs="Arial"/>
          <w:sz w:val="24"/>
          <w:szCs w:val="24"/>
        </w:rPr>
        <w:t xml:space="preserve">on </w:t>
      </w:r>
      <w:r w:rsidR="008E5D5C" w:rsidRPr="002B2821">
        <w:rPr>
          <w:rFonts w:asciiTheme="minorHAnsi" w:hAnsiTheme="minorHAnsi" w:cs="Arial"/>
          <w:color w:val="000000" w:themeColor="text1"/>
          <w:sz w:val="24"/>
          <w:szCs w:val="24"/>
        </w:rPr>
        <w:t>2</w:t>
      </w:r>
      <w:r w:rsidR="003E483D" w:rsidRPr="002B2821">
        <w:rPr>
          <w:rFonts w:asciiTheme="minorHAnsi" w:hAnsiTheme="minorHAnsi" w:cs="Arial"/>
          <w:color w:val="000000" w:themeColor="text1"/>
          <w:sz w:val="24"/>
          <w:szCs w:val="24"/>
        </w:rPr>
        <w:t>2</w:t>
      </w:r>
      <w:r w:rsidR="00EF3537" w:rsidRPr="002B2821">
        <w:rPr>
          <w:rFonts w:asciiTheme="minorHAnsi" w:hAnsiTheme="minorHAnsi" w:cs="Arial"/>
          <w:color w:val="000000" w:themeColor="text1"/>
          <w:sz w:val="24"/>
          <w:szCs w:val="24"/>
        </w:rPr>
        <w:t xml:space="preserve"> January 201</w:t>
      </w:r>
      <w:r w:rsidR="003E483D" w:rsidRPr="002B2821">
        <w:rPr>
          <w:rFonts w:asciiTheme="minorHAnsi" w:hAnsiTheme="minorHAnsi" w:cs="Arial"/>
          <w:color w:val="000000" w:themeColor="text1"/>
          <w:sz w:val="24"/>
          <w:szCs w:val="24"/>
        </w:rPr>
        <w:t>9</w:t>
      </w:r>
      <w:r w:rsidR="00AE3819" w:rsidRPr="002B2821">
        <w:rPr>
          <w:rFonts w:asciiTheme="minorHAnsi" w:hAnsiTheme="minorHAnsi" w:cs="Arial"/>
          <w:sz w:val="24"/>
          <w:szCs w:val="24"/>
        </w:rPr>
        <w:t xml:space="preserve"> and signed</w:t>
      </w:r>
      <w:r w:rsidR="00426527" w:rsidRPr="002B2821">
        <w:rPr>
          <w:rFonts w:asciiTheme="minorHAnsi" w:hAnsiTheme="minorHAnsi" w:cs="Arial"/>
          <w:sz w:val="24"/>
          <w:szCs w:val="24"/>
        </w:rPr>
        <w:t xml:space="preserve"> </w:t>
      </w:r>
      <w:r w:rsidR="00AE3819" w:rsidRPr="002B2821">
        <w:rPr>
          <w:rFonts w:asciiTheme="minorHAnsi" w:hAnsiTheme="minorHAnsi" w:cs="Arial"/>
          <w:sz w:val="24"/>
          <w:szCs w:val="24"/>
        </w:rPr>
        <w:t>on behalf</w:t>
      </w:r>
      <w:r w:rsidR="006C23E6">
        <w:rPr>
          <w:rFonts w:asciiTheme="minorHAnsi" w:hAnsiTheme="minorHAnsi" w:cs="Arial"/>
          <w:sz w:val="24"/>
          <w:szCs w:val="24"/>
        </w:rPr>
        <w:t xml:space="preserve"> of the </w:t>
      </w:r>
      <w:r w:rsidR="00F80DAF">
        <w:rPr>
          <w:rFonts w:asciiTheme="minorHAnsi" w:hAnsiTheme="minorHAnsi" w:cs="Arial"/>
          <w:sz w:val="24"/>
          <w:szCs w:val="24"/>
        </w:rPr>
        <w:t xml:space="preserve">Corporate </w:t>
      </w:r>
      <w:r w:rsidR="006C23E6">
        <w:rPr>
          <w:rFonts w:asciiTheme="minorHAnsi" w:hAnsiTheme="minorHAnsi" w:cs="Arial"/>
          <w:sz w:val="24"/>
          <w:szCs w:val="24"/>
        </w:rPr>
        <w:t>Trustee</w:t>
      </w:r>
      <w:r w:rsidR="00AE3819" w:rsidRPr="002B2821">
        <w:rPr>
          <w:rFonts w:asciiTheme="minorHAnsi" w:hAnsiTheme="minorHAnsi" w:cs="Arial"/>
          <w:sz w:val="24"/>
          <w:szCs w:val="24"/>
        </w:rPr>
        <w:t xml:space="preserve"> by</w:t>
      </w:r>
      <w:r w:rsidR="005C5BF4">
        <w:rPr>
          <w:rFonts w:asciiTheme="minorHAnsi" w:hAnsiTheme="minorHAnsi" w:cs="Arial"/>
          <w:sz w:val="24"/>
          <w:szCs w:val="24"/>
        </w:rPr>
        <w:t>:</w:t>
      </w:r>
    </w:p>
    <w:p w14:paraId="2A9F8AEC" w14:textId="77777777" w:rsidR="0042103F" w:rsidRDefault="0042103F">
      <w:pPr>
        <w:pStyle w:val="Bodysingle"/>
        <w:rPr>
          <w:rFonts w:asciiTheme="minorHAnsi" w:hAnsiTheme="minorHAnsi" w:cs="Arial"/>
          <w:b/>
          <w:sz w:val="24"/>
          <w:szCs w:val="24"/>
        </w:rPr>
      </w:pPr>
    </w:p>
    <w:p w14:paraId="671E359C" w14:textId="77777777" w:rsidR="00F80DAF" w:rsidRDefault="00F80DAF">
      <w:pPr>
        <w:pStyle w:val="Bodysingle"/>
        <w:rPr>
          <w:rFonts w:asciiTheme="minorHAnsi" w:hAnsiTheme="minorHAnsi" w:cs="Arial"/>
          <w:b/>
          <w:sz w:val="24"/>
          <w:szCs w:val="24"/>
        </w:rPr>
      </w:pPr>
    </w:p>
    <w:p w14:paraId="47E75F60" w14:textId="77777777" w:rsidR="00C41ED0" w:rsidRDefault="00C41ED0">
      <w:pPr>
        <w:pStyle w:val="Bodysingle"/>
        <w:rPr>
          <w:rFonts w:asciiTheme="minorHAnsi" w:hAnsiTheme="minorHAnsi" w:cs="Arial"/>
          <w:b/>
          <w:sz w:val="24"/>
          <w:szCs w:val="24"/>
        </w:rPr>
      </w:pPr>
    </w:p>
    <w:p w14:paraId="1697672C" w14:textId="77777777" w:rsidR="00096730" w:rsidRDefault="00096730">
      <w:pPr>
        <w:pStyle w:val="Bodysingle"/>
        <w:rPr>
          <w:rFonts w:asciiTheme="minorHAnsi" w:hAnsiTheme="minorHAnsi" w:cs="Arial"/>
          <w:b/>
          <w:sz w:val="24"/>
          <w:szCs w:val="24"/>
        </w:rPr>
      </w:pPr>
    </w:p>
    <w:p w14:paraId="0CFBA1A7" w14:textId="77777777" w:rsidR="00F80DAF" w:rsidRPr="002B2821" w:rsidRDefault="00F80DAF">
      <w:pPr>
        <w:pStyle w:val="Bodysingle"/>
        <w:rPr>
          <w:rFonts w:asciiTheme="minorHAnsi" w:hAnsiTheme="minorHAnsi" w:cs="Arial"/>
          <w:b/>
          <w:sz w:val="24"/>
          <w:szCs w:val="24"/>
        </w:rPr>
      </w:pPr>
    </w:p>
    <w:p w14:paraId="45A1457E" w14:textId="30E548FD" w:rsidR="00B1587C" w:rsidRPr="002B2821" w:rsidRDefault="00B1587C">
      <w:pPr>
        <w:pStyle w:val="Bodysingle"/>
        <w:rPr>
          <w:rFonts w:asciiTheme="minorHAnsi" w:hAnsiTheme="minorHAnsi" w:cs="Arial"/>
          <w:b/>
          <w:sz w:val="24"/>
          <w:szCs w:val="24"/>
        </w:rPr>
      </w:pPr>
      <w:r w:rsidRPr="002B2821">
        <w:rPr>
          <w:rFonts w:asciiTheme="minorHAnsi" w:hAnsiTheme="minorHAnsi" w:cs="Arial"/>
          <w:b/>
          <w:sz w:val="24"/>
          <w:szCs w:val="24"/>
        </w:rPr>
        <w:t>Sir Robert Nelson</w:t>
      </w:r>
      <w:r w:rsidRPr="002B2821">
        <w:rPr>
          <w:rFonts w:asciiTheme="minorHAnsi" w:hAnsiTheme="minorHAnsi" w:cs="Arial"/>
          <w:b/>
          <w:sz w:val="24"/>
          <w:szCs w:val="24"/>
        </w:rPr>
        <w:tab/>
      </w:r>
      <w:r w:rsidRPr="002B2821">
        <w:rPr>
          <w:rFonts w:asciiTheme="minorHAnsi" w:hAnsiTheme="minorHAnsi" w:cs="Arial"/>
          <w:b/>
          <w:sz w:val="24"/>
          <w:szCs w:val="24"/>
        </w:rPr>
        <w:tab/>
      </w:r>
      <w:r w:rsidRPr="002B2821">
        <w:rPr>
          <w:rFonts w:asciiTheme="minorHAnsi" w:hAnsiTheme="minorHAnsi" w:cs="Arial"/>
          <w:b/>
          <w:sz w:val="24"/>
          <w:szCs w:val="24"/>
        </w:rPr>
        <w:tab/>
      </w:r>
      <w:r w:rsidRPr="002B2821">
        <w:rPr>
          <w:rFonts w:asciiTheme="minorHAnsi" w:hAnsiTheme="minorHAnsi" w:cs="Arial"/>
          <w:b/>
          <w:sz w:val="24"/>
          <w:szCs w:val="24"/>
        </w:rPr>
        <w:tab/>
      </w:r>
      <w:r w:rsidRPr="002B2821">
        <w:rPr>
          <w:rFonts w:asciiTheme="minorHAnsi" w:hAnsiTheme="minorHAnsi" w:cs="Arial"/>
          <w:b/>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r>
      <w:r w:rsidRPr="002B2821">
        <w:rPr>
          <w:rFonts w:asciiTheme="minorHAnsi" w:hAnsiTheme="minorHAnsi" w:cs="Arial"/>
          <w:sz w:val="24"/>
          <w:szCs w:val="24"/>
        </w:rPr>
        <w:tab/>
        <w:t xml:space="preserve">                                                             </w:t>
      </w:r>
      <w:r w:rsidRPr="002B2821">
        <w:rPr>
          <w:rFonts w:asciiTheme="minorHAnsi" w:hAnsiTheme="minorHAnsi" w:cs="Arial"/>
          <w:b/>
          <w:sz w:val="24"/>
          <w:szCs w:val="24"/>
        </w:rPr>
        <w:t xml:space="preserve">Mr </w:t>
      </w:r>
      <w:r w:rsidR="00B27CB1" w:rsidRPr="002B2821">
        <w:rPr>
          <w:rFonts w:asciiTheme="minorHAnsi" w:hAnsiTheme="minorHAnsi" w:cs="Arial"/>
          <w:b/>
          <w:sz w:val="24"/>
          <w:szCs w:val="24"/>
        </w:rPr>
        <w:t xml:space="preserve">K </w:t>
      </w:r>
      <w:proofErr w:type="spellStart"/>
      <w:r w:rsidR="00B27CB1" w:rsidRPr="002B2821">
        <w:rPr>
          <w:rFonts w:asciiTheme="minorHAnsi" w:hAnsiTheme="minorHAnsi" w:cs="Arial"/>
          <w:b/>
          <w:sz w:val="24"/>
          <w:szCs w:val="24"/>
        </w:rPr>
        <w:t>Wesbroom</w:t>
      </w:r>
      <w:proofErr w:type="spellEnd"/>
      <w:r w:rsidR="00B27CB1" w:rsidRPr="002B2821">
        <w:rPr>
          <w:rFonts w:asciiTheme="minorHAnsi" w:hAnsiTheme="minorHAnsi" w:cs="Arial"/>
          <w:b/>
          <w:sz w:val="24"/>
          <w:szCs w:val="24"/>
        </w:rPr>
        <w:t xml:space="preserve"> MA </w:t>
      </w:r>
      <w:proofErr w:type="spellStart"/>
      <w:r w:rsidR="00B27CB1" w:rsidRPr="002B2821">
        <w:rPr>
          <w:rFonts w:asciiTheme="minorHAnsi" w:hAnsiTheme="minorHAnsi" w:cs="Arial"/>
          <w:b/>
          <w:sz w:val="24"/>
          <w:szCs w:val="24"/>
        </w:rPr>
        <w:t>MA</w:t>
      </w:r>
      <w:proofErr w:type="spellEnd"/>
      <w:r w:rsidR="00B27CB1" w:rsidRPr="002B2821">
        <w:rPr>
          <w:rFonts w:asciiTheme="minorHAnsi" w:hAnsiTheme="minorHAnsi" w:cs="Arial"/>
          <w:b/>
          <w:sz w:val="24"/>
          <w:szCs w:val="24"/>
        </w:rPr>
        <w:t xml:space="preserve"> FIA</w:t>
      </w:r>
    </w:p>
    <w:p w14:paraId="56F3D0BC" w14:textId="65784ECD" w:rsidR="00E23EAE" w:rsidRPr="002B2821" w:rsidRDefault="00774293">
      <w:pPr>
        <w:pStyle w:val="Bodysingle"/>
        <w:rPr>
          <w:rFonts w:asciiTheme="minorHAnsi" w:hAnsiTheme="minorHAnsi" w:cs="Arial"/>
          <w:b/>
          <w:sz w:val="24"/>
          <w:szCs w:val="24"/>
        </w:rPr>
      </w:pPr>
      <w:r w:rsidRPr="002B2821">
        <w:rPr>
          <w:rFonts w:asciiTheme="minorHAnsi" w:hAnsiTheme="minorHAnsi" w:cs="Arial"/>
          <w:b/>
          <w:sz w:val="24"/>
          <w:szCs w:val="24"/>
        </w:rPr>
        <w:t xml:space="preserve">Director </w:t>
      </w:r>
      <w:r w:rsidRPr="002B2821">
        <w:rPr>
          <w:rFonts w:asciiTheme="minorHAnsi" w:hAnsiTheme="minorHAnsi" w:cs="Arial"/>
          <w:b/>
          <w:sz w:val="24"/>
          <w:szCs w:val="24"/>
        </w:rPr>
        <w:tab/>
      </w:r>
      <w:r w:rsidRPr="002B2821">
        <w:rPr>
          <w:rFonts w:asciiTheme="minorHAnsi" w:hAnsiTheme="minorHAnsi" w:cs="Arial"/>
          <w:b/>
          <w:sz w:val="24"/>
          <w:szCs w:val="24"/>
        </w:rPr>
        <w:tab/>
        <w:t xml:space="preserve">                                                                         </w:t>
      </w:r>
      <w:r w:rsidR="00F80DAF">
        <w:rPr>
          <w:rFonts w:asciiTheme="minorHAnsi" w:hAnsiTheme="minorHAnsi" w:cs="Arial"/>
          <w:b/>
          <w:sz w:val="24"/>
          <w:szCs w:val="24"/>
        </w:rPr>
        <w:tab/>
      </w:r>
      <w:r w:rsidR="00F80DAF">
        <w:rPr>
          <w:rFonts w:asciiTheme="minorHAnsi" w:hAnsiTheme="minorHAnsi" w:cs="Arial"/>
          <w:b/>
          <w:sz w:val="24"/>
          <w:szCs w:val="24"/>
        </w:rPr>
        <w:tab/>
        <w:t xml:space="preserve">     </w:t>
      </w:r>
      <w:proofErr w:type="spellStart"/>
      <w:r w:rsidRPr="002B2821">
        <w:rPr>
          <w:rFonts w:asciiTheme="minorHAnsi" w:hAnsiTheme="minorHAnsi" w:cs="Arial"/>
          <w:b/>
          <w:sz w:val="24"/>
          <w:szCs w:val="24"/>
        </w:rPr>
        <w:t>Director</w:t>
      </w:r>
      <w:proofErr w:type="spellEnd"/>
      <w:r w:rsidRPr="002B2821">
        <w:rPr>
          <w:rFonts w:asciiTheme="minorHAnsi" w:hAnsiTheme="minorHAnsi" w:cs="Arial"/>
          <w:b/>
          <w:sz w:val="24"/>
          <w:szCs w:val="24"/>
        </w:rPr>
        <w:t xml:space="preserve"> </w:t>
      </w:r>
      <w:r w:rsidR="00E23EAE" w:rsidRPr="002B2821">
        <w:rPr>
          <w:rFonts w:asciiTheme="minorHAnsi" w:hAnsiTheme="minorHAnsi" w:cs="Arial"/>
          <w:b/>
          <w:sz w:val="24"/>
          <w:szCs w:val="24"/>
        </w:rPr>
        <w:br w:type="page"/>
      </w:r>
    </w:p>
    <w:p w14:paraId="0493DD22" w14:textId="5A0C1A46" w:rsidR="004B0F07" w:rsidRPr="00F91082" w:rsidRDefault="00B1587C" w:rsidP="00F91082">
      <w:pPr>
        <w:pStyle w:val="Bodysingle"/>
        <w:rPr>
          <w:rFonts w:asciiTheme="minorHAnsi" w:hAnsiTheme="minorHAnsi"/>
          <w:b/>
          <w:sz w:val="24"/>
          <w:szCs w:val="24"/>
        </w:rPr>
      </w:pPr>
      <w:r w:rsidRPr="002B2821">
        <w:rPr>
          <w:rFonts w:asciiTheme="minorHAnsi" w:hAnsiTheme="minorHAnsi" w:cs="Arial"/>
          <w:b/>
          <w:sz w:val="24"/>
          <w:szCs w:val="24"/>
        </w:rPr>
        <w:lastRenderedPageBreak/>
        <w:tab/>
      </w:r>
      <w:r w:rsidRPr="002B2821">
        <w:rPr>
          <w:rFonts w:asciiTheme="minorHAnsi" w:hAnsiTheme="minorHAnsi" w:cs="Arial"/>
          <w:b/>
          <w:sz w:val="24"/>
          <w:szCs w:val="24"/>
        </w:rPr>
        <w:tab/>
      </w:r>
      <w:r w:rsidRPr="002B2821">
        <w:rPr>
          <w:rFonts w:asciiTheme="minorHAnsi" w:hAnsiTheme="minorHAnsi" w:cs="Arial"/>
          <w:b/>
          <w:sz w:val="24"/>
          <w:szCs w:val="24"/>
        </w:rPr>
        <w:tab/>
      </w:r>
      <w:r w:rsidRPr="002B2821">
        <w:rPr>
          <w:rFonts w:asciiTheme="minorHAnsi" w:hAnsiTheme="minorHAnsi" w:cs="Arial"/>
          <w:b/>
          <w:sz w:val="24"/>
          <w:szCs w:val="24"/>
        </w:rPr>
        <w:tab/>
      </w:r>
      <w:bookmarkStart w:id="40" w:name="_Toc517758079"/>
      <w:r w:rsidRPr="00F91082">
        <w:rPr>
          <w:rFonts w:asciiTheme="minorHAnsi" w:hAnsiTheme="minorHAnsi"/>
          <w:b/>
          <w:sz w:val="24"/>
          <w:szCs w:val="24"/>
        </w:rPr>
        <w:t xml:space="preserve">Cash flow statement for the </w:t>
      </w:r>
      <w:r w:rsidR="00AF09CE" w:rsidRPr="00F91082">
        <w:rPr>
          <w:rFonts w:asciiTheme="minorHAnsi" w:hAnsiTheme="minorHAnsi"/>
          <w:b/>
          <w:sz w:val="24"/>
          <w:szCs w:val="24"/>
        </w:rPr>
        <w:t>year</w:t>
      </w:r>
      <w:r w:rsidR="0048234C" w:rsidRPr="00F91082">
        <w:rPr>
          <w:rFonts w:asciiTheme="minorHAnsi" w:hAnsiTheme="minorHAnsi"/>
          <w:b/>
          <w:sz w:val="24"/>
          <w:szCs w:val="24"/>
        </w:rPr>
        <w:t xml:space="preserve"> </w:t>
      </w:r>
      <w:r w:rsidR="00294408" w:rsidRPr="00F91082">
        <w:rPr>
          <w:rFonts w:asciiTheme="minorHAnsi" w:hAnsiTheme="minorHAnsi"/>
          <w:b/>
          <w:sz w:val="24"/>
          <w:szCs w:val="24"/>
        </w:rPr>
        <w:t xml:space="preserve">ended 30 </w:t>
      </w:r>
      <w:r w:rsidR="006908D8" w:rsidRPr="00F91082">
        <w:rPr>
          <w:rFonts w:asciiTheme="minorHAnsi" w:hAnsiTheme="minorHAnsi"/>
          <w:b/>
          <w:sz w:val="24"/>
          <w:szCs w:val="24"/>
        </w:rPr>
        <w:t>September</w:t>
      </w:r>
      <w:r w:rsidR="00294408" w:rsidRPr="00F91082">
        <w:rPr>
          <w:rFonts w:asciiTheme="minorHAnsi" w:hAnsiTheme="minorHAnsi"/>
          <w:b/>
          <w:sz w:val="24"/>
          <w:szCs w:val="24"/>
        </w:rPr>
        <w:t xml:space="preserve"> 201</w:t>
      </w:r>
      <w:bookmarkEnd w:id="40"/>
      <w:r w:rsidR="00F62049" w:rsidRPr="00F91082">
        <w:rPr>
          <w:rFonts w:asciiTheme="minorHAnsi" w:hAnsiTheme="minorHAnsi"/>
          <w:b/>
          <w:sz w:val="24"/>
          <w:szCs w:val="24"/>
        </w:rPr>
        <w:t>8</w:t>
      </w:r>
    </w:p>
    <w:p w14:paraId="6E90B674" w14:textId="77777777" w:rsidR="00564B95" w:rsidRPr="002B2821" w:rsidRDefault="00564B95" w:rsidP="00564B95">
      <w:pPr>
        <w:spacing w:after="0" w:line="240" w:lineRule="auto"/>
        <w:rPr>
          <w:lang w:eastAsia="en-GB"/>
        </w:rPr>
      </w:pPr>
    </w:p>
    <w:tbl>
      <w:tblPr>
        <w:tblW w:w="8962" w:type="dxa"/>
        <w:tblLook w:val="04A0" w:firstRow="1" w:lastRow="0" w:firstColumn="1" w:lastColumn="0" w:noHBand="0" w:noVBand="1"/>
      </w:tblPr>
      <w:tblGrid>
        <w:gridCol w:w="4820"/>
        <w:gridCol w:w="698"/>
        <w:gridCol w:w="222"/>
        <w:gridCol w:w="14"/>
        <w:gridCol w:w="1260"/>
        <w:gridCol w:w="14"/>
        <w:gridCol w:w="760"/>
        <w:gridCol w:w="14"/>
        <w:gridCol w:w="1048"/>
        <w:gridCol w:w="14"/>
        <w:gridCol w:w="208"/>
        <w:gridCol w:w="14"/>
      </w:tblGrid>
      <w:tr w:rsidR="00564B95" w:rsidRPr="002B2821" w14:paraId="45A90FD4" w14:textId="77777777" w:rsidTr="006704BD">
        <w:trPr>
          <w:trHeight w:val="255"/>
        </w:trPr>
        <w:tc>
          <w:tcPr>
            <w:tcW w:w="4820" w:type="dxa"/>
            <w:tcBorders>
              <w:top w:val="nil"/>
              <w:left w:val="nil"/>
              <w:bottom w:val="nil"/>
              <w:right w:val="nil"/>
            </w:tcBorders>
            <w:shd w:val="clear" w:color="auto" w:fill="auto"/>
            <w:noWrap/>
            <w:vAlign w:val="bottom"/>
            <w:hideMark/>
          </w:tcPr>
          <w:p w14:paraId="4C58A155" w14:textId="77777777" w:rsidR="00564B95" w:rsidRPr="002B2821" w:rsidRDefault="00564B95" w:rsidP="00564B95">
            <w:pPr>
              <w:spacing w:after="0" w:line="240" w:lineRule="auto"/>
              <w:rPr>
                <w:sz w:val="24"/>
                <w:szCs w:val="24"/>
                <w:lang w:eastAsia="en-GB"/>
              </w:rPr>
            </w:pPr>
          </w:p>
        </w:tc>
        <w:tc>
          <w:tcPr>
            <w:tcW w:w="574" w:type="dxa"/>
            <w:tcBorders>
              <w:top w:val="nil"/>
              <w:left w:val="nil"/>
              <w:bottom w:val="nil"/>
              <w:right w:val="nil"/>
            </w:tcBorders>
            <w:shd w:val="clear" w:color="auto" w:fill="auto"/>
            <w:noWrap/>
            <w:vAlign w:val="bottom"/>
            <w:hideMark/>
          </w:tcPr>
          <w:p w14:paraId="7F32154A"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3F67A8CD"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06C39020" w14:textId="77777777" w:rsidR="00564B95" w:rsidRPr="002B2821" w:rsidRDefault="00564B95" w:rsidP="00564B95">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 Funds</w:t>
            </w:r>
          </w:p>
        </w:tc>
        <w:tc>
          <w:tcPr>
            <w:tcW w:w="774" w:type="dxa"/>
            <w:gridSpan w:val="2"/>
            <w:tcBorders>
              <w:top w:val="nil"/>
              <w:left w:val="nil"/>
              <w:bottom w:val="nil"/>
              <w:right w:val="nil"/>
            </w:tcBorders>
            <w:shd w:val="clear" w:color="auto" w:fill="auto"/>
            <w:noWrap/>
            <w:vAlign w:val="bottom"/>
            <w:hideMark/>
          </w:tcPr>
          <w:p w14:paraId="177CD253" w14:textId="77777777" w:rsidR="00564B95" w:rsidRPr="002B2821" w:rsidRDefault="00564B95" w:rsidP="00564B95">
            <w:pPr>
              <w:spacing w:after="0" w:line="240" w:lineRule="auto"/>
              <w:jc w:val="center"/>
              <w:rPr>
                <w:rFonts w:ascii="Calibri" w:hAnsi="Calibri" w:cs="Arial"/>
                <w:b/>
                <w:bCs/>
                <w:color w:val="333399"/>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2A9D848F" w14:textId="77777777" w:rsidR="00564B95" w:rsidRPr="002B2821" w:rsidRDefault="00564B95" w:rsidP="00564B95">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Total Funds</w:t>
            </w:r>
          </w:p>
        </w:tc>
        <w:tc>
          <w:tcPr>
            <w:tcW w:w="222" w:type="dxa"/>
            <w:gridSpan w:val="2"/>
            <w:tcBorders>
              <w:top w:val="nil"/>
              <w:left w:val="nil"/>
              <w:bottom w:val="nil"/>
              <w:right w:val="nil"/>
            </w:tcBorders>
            <w:shd w:val="clear" w:color="auto" w:fill="auto"/>
            <w:noWrap/>
            <w:vAlign w:val="bottom"/>
            <w:hideMark/>
          </w:tcPr>
          <w:p w14:paraId="77F32395" w14:textId="77777777" w:rsidR="00564B95" w:rsidRPr="002B2821" w:rsidRDefault="00564B95" w:rsidP="00564B95">
            <w:pPr>
              <w:spacing w:after="0" w:line="240" w:lineRule="auto"/>
              <w:jc w:val="center"/>
              <w:rPr>
                <w:rFonts w:ascii="Calibri" w:hAnsi="Calibri" w:cs="Arial"/>
                <w:color w:val="333399"/>
                <w:sz w:val="24"/>
                <w:szCs w:val="24"/>
                <w:lang w:eastAsia="en-GB"/>
              </w:rPr>
            </w:pPr>
          </w:p>
        </w:tc>
      </w:tr>
      <w:tr w:rsidR="00564B95" w:rsidRPr="002B2821" w14:paraId="0E2F6BF6" w14:textId="77777777" w:rsidTr="006704BD">
        <w:trPr>
          <w:trHeight w:val="255"/>
        </w:trPr>
        <w:tc>
          <w:tcPr>
            <w:tcW w:w="4820" w:type="dxa"/>
            <w:tcBorders>
              <w:top w:val="nil"/>
              <w:left w:val="nil"/>
              <w:bottom w:val="nil"/>
              <w:right w:val="nil"/>
            </w:tcBorders>
            <w:shd w:val="clear" w:color="auto" w:fill="auto"/>
            <w:noWrap/>
            <w:vAlign w:val="bottom"/>
            <w:hideMark/>
          </w:tcPr>
          <w:p w14:paraId="01D105DF"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4ADAE4EC"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4A8D1252"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2104A371" w14:textId="77777777" w:rsidR="00564B95" w:rsidRPr="002B2821" w:rsidRDefault="00564B95" w:rsidP="00564B95">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774" w:type="dxa"/>
            <w:gridSpan w:val="2"/>
            <w:tcBorders>
              <w:top w:val="nil"/>
              <w:left w:val="nil"/>
              <w:bottom w:val="nil"/>
              <w:right w:val="nil"/>
            </w:tcBorders>
            <w:shd w:val="clear" w:color="auto" w:fill="auto"/>
            <w:noWrap/>
            <w:vAlign w:val="bottom"/>
            <w:hideMark/>
          </w:tcPr>
          <w:p w14:paraId="49FEDCC0" w14:textId="77777777" w:rsidR="00564B95" w:rsidRPr="002B2821" w:rsidRDefault="00564B95" w:rsidP="00564B95">
            <w:pPr>
              <w:spacing w:after="0" w:line="240" w:lineRule="auto"/>
              <w:jc w:val="center"/>
              <w:rPr>
                <w:rFonts w:ascii="Calibri" w:hAnsi="Calibri" w:cs="Arial"/>
                <w:b/>
                <w:bCs/>
                <w:color w:val="333399"/>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51677C27" w14:textId="77777777" w:rsidR="00564B95" w:rsidRPr="002B2821" w:rsidRDefault="00564B95" w:rsidP="00564B95">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22" w:type="dxa"/>
            <w:gridSpan w:val="2"/>
            <w:tcBorders>
              <w:top w:val="nil"/>
              <w:left w:val="nil"/>
              <w:bottom w:val="nil"/>
              <w:right w:val="nil"/>
            </w:tcBorders>
            <w:shd w:val="clear" w:color="auto" w:fill="auto"/>
            <w:noWrap/>
            <w:vAlign w:val="bottom"/>
            <w:hideMark/>
          </w:tcPr>
          <w:p w14:paraId="0A12CC2C" w14:textId="77777777" w:rsidR="00564B95" w:rsidRPr="002B2821" w:rsidRDefault="00564B95" w:rsidP="00564B95">
            <w:pPr>
              <w:spacing w:after="0" w:line="240" w:lineRule="auto"/>
              <w:jc w:val="center"/>
              <w:rPr>
                <w:rFonts w:ascii="Calibri" w:hAnsi="Calibri" w:cs="Arial"/>
                <w:color w:val="333399"/>
                <w:sz w:val="24"/>
                <w:szCs w:val="24"/>
                <w:lang w:eastAsia="en-GB"/>
              </w:rPr>
            </w:pPr>
          </w:p>
        </w:tc>
      </w:tr>
      <w:tr w:rsidR="00564B95" w:rsidRPr="002B2821" w14:paraId="50F24181" w14:textId="77777777" w:rsidTr="006704BD">
        <w:trPr>
          <w:trHeight w:val="255"/>
        </w:trPr>
        <w:tc>
          <w:tcPr>
            <w:tcW w:w="4820" w:type="dxa"/>
            <w:tcBorders>
              <w:top w:val="nil"/>
              <w:left w:val="nil"/>
              <w:bottom w:val="nil"/>
              <w:right w:val="nil"/>
            </w:tcBorders>
            <w:shd w:val="clear" w:color="auto" w:fill="auto"/>
            <w:noWrap/>
            <w:vAlign w:val="bottom"/>
            <w:hideMark/>
          </w:tcPr>
          <w:p w14:paraId="4C4D63C7"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4FF9B7F6" w14:textId="77777777" w:rsidR="00564B95" w:rsidRPr="002B2821" w:rsidRDefault="00564B95" w:rsidP="00564B95">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Note</w:t>
            </w:r>
          </w:p>
        </w:tc>
        <w:tc>
          <w:tcPr>
            <w:tcW w:w="236" w:type="dxa"/>
            <w:gridSpan w:val="2"/>
            <w:tcBorders>
              <w:top w:val="nil"/>
              <w:left w:val="nil"/>
              <w:bottom w:val="nil"/>
              <w:right w:val="nil"/>
            </w:tcBorders>
            <w:shd w:val="clear" w:color="auto" w:fill="auto"/>
            <w:noWrap/>
            <w:vAlign w:val="bottom"/>
            <w:hideMark/>
          </w:tcPr>
          <w:p w14:paraId="3A133D12" w14:textId="77777777" w:rsidR="00564B95" w:rsidRPr="002B2821" w:rsidRDefault="00564B95" w:rsidP="00564B95">
            <w:pPr>
              <w:spacing w:after="0" w:line="240" w:lineRule="auto"/>
              <w:jc w:val="center"/>
              <w:rPr>
                <w:rFonts w:ascii="Calibri" w:hAnsi="Calibri" w:cs="Arial"/>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0F1ABA2D" w14:textId="77777777" w:rsidR="00564B95" w:rsidRPr="002B2821" w:rsidRDefault="00564B95" w:rsidP="00564B95">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774" w:type="dxa"/>
            <w:gridSpan w:val="2"/>
            <w:tcBorders>
              <w:top w:val="nil"/>
              <w:left w:val="nil"/>
              <w:bottom w:val="nil"/>
              <w:right w:val="nil"/>
            </w:tcBorders>
            <w:shd w:val="clear" w:color="auto" w:fill="auto"/>
            <w:noWrap/>
            <w:vAlign w:val="bottom"/>
            <w:hideMark/>
          </w:tcPr>
          <w:p w14:paraId="0F6513A3" w14:textId="77777777" w:rsidR="00564B95" w:rsidRPr="002B2821" w:rsidRDefault="00564B95" w:rsidP="00564B95">
            <w:pPr>
              <w:spacing w:after="0" w:line="240" w:lineRule="auto"/>
              <w:jc w:val="center"/>
              <w:rPr>
                <w:rFonts w:ascii="Calibri" w:hAnsi="Calibri" w:cs="Arial"/>
                <w:b/>
                <w:bCs/>
                <w:color w:val="333399"/>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33AF0C0A" w14:textId="77777777" w:rsidR="00564B95" w:rsidRPr="002B2821" w:rsidRDefault="00564B95" w:rsidP="00564B95">
            <w:pPr>
              <w:spacing w:after="0" w:line="240" w:lineRule="auto"/>
              <w:jc w:val="center"/>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22" w:type="dxa"/>
            <w:gridSpan w:val="2"/>
            <w:tcBorders>
              <w:top w:val="nil"/>
              <w:left w:val="nil"/>
              <w:bottom w:val="nil"/>
              <w:right w:val="nil"/>
            </w:tcBorders>
            <w:shd w:val="clear" w:color="auto" w:fill="auto"/>
            <w:noWrap/>
            <w:vAlign w:val="bottom"/>
            <w:hideMark/>
          </w:tcPr>
          <w:p w14:paraId="5D6D9B78" w14:textId="77777777" w:rsidR="00564B95" w:rsidRPr="002B2821" w:rsidRDefault="00564B95" w:rsidP="00564B95">
            <w:pPr>
              <w:spacing w:after="0" w:line="240" w:lineRule="auto"/>
              <w:jc w:val="center"/>
              <w:rPr>
                <w:rFonts w:ascii="Calibri" w:hAnsi="Calibri" w:cs="Arial"/>
                <w:color w:val="333399"/>
                <w:sz w:val="24"/>
                <w:szCs w:val="24"/>
                <w:lang w:eastAsia="en-GB"/>
              </w:rPr>
            </w:pPr>
          </w:p>
        </w:tc>
      </w:tr>
      <w:tr w:rsidR="00564B95" w:rsidRPr="002B2821" w14:paraId="75DAE2B2" w14:textId="77777777" w:rsidTr="006704BD">
        <w:trPr>
          <w:trHeight w:val="132"/>
        </w:trPr>
        <w:tc>
          <w:tcPr>
            <w:tcW w:w="4820" w:type="dxa"/>
            <w:tcBorders>
              <w:top w:val="nil"/>
              <w:left w:val="nil"/>
              <w:bottom w:val="nil"/>
              <w:right w:val="nil"/>
            </w:tcBorders>
            <w:shd w:val="clear" w:color="auto" w:fill="auto"/>
            <w:noWrap/>
            <w:vAlign w:val="bottom"/>
            <w:hideMark/>
          </w:tcPr>
          <w:p w14:paraId="78C7D5D1"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2562989B"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52853884"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5BD6015C"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3BFF055B"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417D5338"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7FEE590A" w14:textId="77777777" w:rsidR="00564B95" w:rsidRPr="002B2821" w:rsidRDefault="00564B95" w:rsidP="00564B95">
            <w:pPr>
              <w:spacing w:after="0" w:line="240" w:lineRule="auto"/>
              <w:rPr>
                <w:lang w:eastAsia="en-GB"/>
              </w:rPr>
            </w:pPr>
          </w:p>
        </w:tc>
      </w:tr>
      <w:tr w:rsidR="00564B95" w:rsidRPr="002B2821" w14:paraId="322866F8" w14:textId="77777777" w:rsidTr="006704BD">
        <w:trPr>
          <w:trHeight w:val="255"/>
        </w:trPr>
        <w:tc>
          <w:tcPr>
            <w:tcW w:w="4820" w:type="dxa"/>
            <w:tcBorders>
              <w:top w:val="nil"/>
              <w:left w:val="nil"/>
              <w:bottom w:val="nil"/>
              <w:right w:val="nil"/>
            </w:tcBorders>
            <w:shd w:val="clear" w:color="auto" w:fill="auto"/>
            <w:noWrap/>
            <w:vAlign w:val="bottom"/>
            <w:hideMark/>
          </w:tcPr>
          <w:p w14:paraId="6937AF7D" w14:textId="77777777"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Cash flows from operating activities:</w:t>
            </w:r>
          </w:p>
        </w:tc>
        <w:tc>
          <w:tcPr>
            <w:tcW w:w="574" w:type="dxa"/>
            <w:tcBorders>
              <w:top w:val="nil"/>
              <w:left w:val="nil"/>
              <w:bottom w:val="nil"/>
              <w:right w:val="nil"/>
            </w:tcBorders>
            <w:shd w:val="clear" w:color="auto" w:fill="auto"/>
            <w:noWrap/>
            <w:vAlign w:val="bottom"/>
            <w:hideMark/>
          </w:tcPr>
          <w:p w14:paraId="18542CBF"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70456929"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31E03891"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01E6D118"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0EF044F6"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32925089" w14:textId="77777777" w:rsidR="00564B95" w:rsidRPr="002B2821" w:rsidRDefault="00564B95" w:rsidP="00564B95">
            <w:pPr>
              <w:spacing w:after="0" w:line="240" w:lineRule="auto"/>
              <w:rPr>
                <w:lang w:eastAsia="en-GB"/>
              </w:rPr>
            </w:pPr>
          </w:p>
        </w:tc>
      </w:tr>
      <w:tr w:rsidR="00564B95" w:rsidRPr="002B2821" w14:paraId="199EB820" w14:textId="77777777" w:rsidTr="006704BD">
        <w:trPr>
          <w:trHeight w:val="255"/>
        </w:trPr>
        <w:tc>
          <w:tcPr>
            <w:tcW w:w="5394" w:type="dxa"/>
            <w:gridSpan w:val="2"/>
            <w:tcBorders>
              <w:top w:val="nil"/>
              <w:left w:val="nil"/>
              <w:bottom w:val="nil"/>
              <w:right w:val="nil"/>
            </w:tcBorders>
            <w:shd w:val="clear" w:color="auto" w:fill="auto"/>
            <w:noWrap/>
            <w:vAlign w:val="bottom"/>
            <w:hideMark/>
          </w:tcPr>
          <w:p w14:paraId="530311B5" w14:textId="2B7A5D35" w:rsidR="00564B95" w:rsidRPr="002B2821" w:rsidRDefault="00564B95" w:rsidP="00E16BD9">
            <w:pPr>
              <w:spacing w:after="0" w:line="240" w:lineRule="auto"/>
              <w:rPr>
                <w:rFonts w:ascii="Calibri" w:hAnsi="Calibri" w:cs="Arial"/>
                <w:b/>
                <w:bCs/>
                <w:i/>
                <w:iCs/>
                <w:color w:val="000000"/>
                <w:sz w:val="24"/>
                <w:szCs w:val="24"/>
                <w:lang w:eastAsia="en-GB"/>
              </w:rPr>
            </w:pPr>
            <w:r w:rsidRPr="002B2821">
              <w:rPr>
                <w:rFonts w:ascii="Calibri" w:hAnsi="Calibri" w:cs="Arial"/>
                <w:b/>
                <w:bCs/>
                <w:i/>
                <w:iCs/>
                <w:color w:val="000000"/>
                <w:sz w:val="24"/>
                <w:szCs w:val="24"/>
                <w:lang w:eastAsia="en-GB"/>
              </w:rPr>
              <w:t xml:space="preserve">Net cash </w:t>
            </w:r>
            <w:r w:rsidR="00E16BD9" w:rsidRPr="002B2821">
              <w:rPr>
                <w:rFonts w:ascii="Calibri" w:hAnsi="Calibri" w:cs="Arial"/>
                <w:b/>
                <w:bCs/>
                <w:i/>
                <w:iCs/>
                <w:color w:val="000000"/>
                <w:sz w:val="24"/>
                <w:szCs w:val="24"/>
                <w:lang w:eastAsia="en-GB"/>
              </w:rPr>
              <w:t>(used in)</w:t>
            </w:r>
            <w:r w:rsidR="005C5BF4">
              <w:rPr>
                <w:rFonts w:ascii="Calibri" w:hAnsi="Calibri" w:cs="Arial"/>
                <w:b/>
                <w:bCs/>
                <w:i/>
                <w:iCs/>
                <w:color w:val="000000"/>
                <w:sz w:val="24"/>
                <w:szCs w:val="24"/>
                <w:lang w:eastAsia="en-GB"/>
              </w:rPr>
              <w:t>/</w:t>
            </w:r>
            <w:r w:rsidRPr="002B2821">
              <w:rPr>
                <w:rFonts w:ascii="Calibri" w:hAnsi="Calibri" w:cs="Arial"/>
                <w:b/>
                <w:bCs/>
                <w:i/>
                <w:iCs/>
                <w:color w:val="000000"/>
                <w:sz w:val="24"/>
                <w:szCs w:val="24"/>
                <w:lang w:eastAsia="en-GB"/>
              </w:rPr>
              <w:t>provided by operating activities</w:t>
            </w:r>
          </w:p>
        </w:tc>
        <w:tc>
          <w:tcPr>
            <w:tcW w:w="236" w:type="dxa"/>
            <w:gridSpan w:val="2"/>
            <w:tcBorders>
              <w:top w:val="nil"/>
              <w:left w:val="nil"/>
              <w:bottom w:val="nil"/>
              <w:right w:val="nil"/>
            </w:tcBorders>
            <w:shd w:val="clear" w:color="auto" w:fill="auto"/>
            <w:noWrap/>
            <w:vAlign w:val="bottom"/>
            <w:hideMark/>
          </w:tcPr>
          <w:p w14:paraId="37CB2FE3" w14:textId="77777777" w:rsidR="00564B95" w:rsidRPr="002B2821" w:rsidRDefault="00564B95" w:rsidP="00564B95">
            <w:pPr>
              <w:spacing w:after="0" w:line="240" w:lineRule="auto"/>
              <w:rPr>
                <w:rFonts w:ascii="Calibri" w:hAnsi="Calibri" w:cs="Arial"/>
                <w:b/>
                <w:bCs/>
                <w:i/>
                <w:iCs/>
                <w:color w:val="000000"/>
                <w:sz w:val="24"/>
                <w:szCs w:val="24"/>
                <w:lang w:eastAsia="en-GB"/>
              </w:rPr>
            </w:pPr>
          </w:p>
        </w:tc>
        <w:tc>
          <w:tcPr>
            <w:tcW w:w="1274" w:type="dxa"/>
            <w:gridSpan w:val="2"/>
            <w:tcBorders>
              <w:top w:val="nil"/>
              <w:left w:val="nil"/>
              <w:bottom w:val="single" w:sz="4" w:space="0" w:color="3C3C3C"/>
              <w:right w:val="nil"/>
            </w:tcBorders>
            <w:shd w:val="clear" w:color="auto" w:fill="auto"/>
            <w:noWrap/>
            <w:vAlign w:val="bottom"/>
            <w:hideMark/>
          </w:tcPr>
          <w:p w14:paraId="08F8D6DC"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(9,644)</w:t>
            </w:r>
          </w:p>
        </w:tc>
        <w:tc>
          <w:tcPr>
            <w:tcW w:w="774" w:type="dxa"/>
            <w:gridSpan w:val="2"/>
            <w:tcBorders>
              <w:top w:val="nil"/>
              <w:left w:val="nil"/>
              <w:bottom w:val="nil"/>
              <w:right w:val="nil"/>
            </w:tcBorders>
            <w:shd w:val="clear" w:color="auto" w:fill="auto"/>
            <w:noWrap/>
            <w:vAlign w:val="bottom"/>
            <w:hideMark/>
          </w:tcPr>
          <w:p w14:paraId="4D575CA9"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single" w:sz="4" w:space="0" w:color="3C3C3C"/>
              <w:right w:val="nil"/>
            </w:tcBorders>
            <w:shd w:val="clear" w:color="auto" w:fill="auto"/>
            <w:noWrap/>
            <w:vAlign w:val="bottom"/>
            <w:hideMark/>
          </w:tcPr>
          <w:p w14:paraId="2B8A95B7"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491 </w:t>
            </w:r>
          </w:p>
        </w:tc>
        <w:tc>
          <w:tcPr>
            <w:tcW w:w="222" w:type="dxa"/>
            <w:gridSpan w:val="2"/>
            <w:tcBorders>
              <w:top w:val="nil"/>
              <w:left w:val="nil"/>
              <w:bottom w:val="nil"/>
              <w:right w:val="nil"/>
            </w:tcBorders>
            <w:shd w:val="clear" w:color="auto" w:fill="auto"/>
            <w:noWrap/>
            <w:vAlign w:val="bottom"/>
            <w:hideMark/>
          </w:tcPr>
          <w:p w14:paraId="7E9E4A8B"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1C0EA0D2" w14:textId="77777777" w:rsidTr="006704BD">
        <w:trPr>
          <w:trHeight w:val="255"/>
        </w:trPr>
        <w:tc>
          <w:tcPr>
            <w:tcW w:w="4820" w:type="dxa"/>
            <w:tcBorders>
              <w:top w:val="nil"/>
              <w:left w:val="nil"/>
              <w:bottom w:val="nil"/>
              <w:right w:val="nil"/>
            </w:tcBorders>
            <w:shd w:val="clear" w:color="auto" w:fill="auto"/>
            <w:noWrap/>
            <w:vAlign w:val="bottom"/>
            <w:hideMark/>
          </w:tcPr>
          <w:p w14:paraId="790A6064"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1E20C215"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69C26CE1"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2D7D7FE"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0D860677"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9B2B8E0"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086B6BAE" w14:textId="77777777" w:rsidR="00564B95" w:rsidRPr="002B2821" w:rsidRDefault="00564B95" w:rsidP="00564B95">
            <w:pPr>
              <w:spacing w:after="0" w:line="240" w:lineRule="auto"/>
              <w:rPr>
                <w:lang w:eastAsia="en-GB"/>
              </w:rPr>
            </w:pPr>
          </w:p>
        </w:tc>
      </w:tr>
      <w:tr w:rsidR="00564B95" w:rsidRPr="002B2821" w14:paraId="29A71F41" w14:textId="77777777" w:rsidTr="006704BD">
        <w:trPr>
          <w:trHeight w:val="255"/>
        </w:trPr>
        <w:tc>
          <w:tcPr>
            <w:tcW w:w="4820" w:type="dxa"/>
            <w:tcBorders>
              <w:top w:val="nil"/>
              <w:left w:val="nil"/>
              <w:bottom w:val="nil"/>
              <w:right w:val="nil"/>
            </w:tcBorders>
            <w:shd w:val="clear" w:color="auto" w:fill="auto"/>
            <w:noWrap/>
            <w:vAlign w:val="bottom"/>
            <w:hideMark/>
          </w:tcPr>
          <w:p w14:paraId="783C4B03" w14:textId="77777777"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Cash flows from investing activities</w:t>
            </w:r>
          </w:p>
        </w:tc>
        <w:tc>
          <w:tcPr>
            <w:tcW w:w="574" w:type="dxa"/>
            <w:tcBorders>
              <w:top w:val="nil"/>
              <w:left w:val="nil"/>
              <w:bottom w:val="nil"/>
              <w:right w:val="nil"/>
            </w:tcBorders>
            <w:shd w:val="clear" w:color="auto" w:fill="auto"/>
            <w:noWrap/>
            <w:vAlign w:val="bottom"/>
            <w:hideMark/>
          </w:tcPr>
          <w:p w14:paraId="3C16B12B"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4D979ADB"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4C1CB466"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04419C07"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40B6C64"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254A2CD8" w14:textId="77777777" w:rsidR="00564B95" w:rsidRPr="002B2821" w:rsidRDefault="00564B95" w:rsidP="00564B95">
            <w:pPr>
              <w:spacing w:after="0" w:line="240" w:lineRule="auto"/>
              <w:rPr>
                <w:lang w:eastAsia="en-GB"/>
              </w:rPr>
            </w:pPr>
          </w:p>
        </w:tc>
      </w:tr>
      <w:tr w:rsidR="00564B95" w:rsidRPr="002B2821" w14:paraId="2EA4935F" w14:textId="77777777" w:rsidTr="006704BD">
        <w:trPr>
          <w:trHeight w:val="147"/>
        </w:trPr>
        <w:tc>
          <w:tcPr>
            <w:tcW w:w="4820" w:type="dxa"/>
            <w:tcBorders>
              <w:top w:val="nil"/>
              <w:left w:val="nil"/>
              <w:bottom w:val="nil"/>
              <w:right w:val="nil"/>
            </w:tcBorders>
            <w:shd w:val="clear" w:color="auto" w:fill="auto"/>
            <w:noWrap/>
            <w:vAlign w:val="bottom"/>
            <w:hideMark/>
          </w:tcPr>
          <w:p w14:paraId="0B66D0B7"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0261B6A1"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79A7F02A"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3AB56582"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5C040C82"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2260C0BA"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74CE6FD1" w14:textId="77777777" w:rsidR="00564B95" w:rsidRPr="002B2821" w:rsidRDefault="00564B95" w:rsidP="00564B95">
            <w:pPr>
              <w:spacing w:after="0" w:line="240" w:lineRule="auto"/>
              <w:rPr>
                <w:lang w:eastAsia="en-GB"/>
              </w:rPr>
            </w:pPr>
          </w:p>
        </w:tc>
      </w:tr>
      <w:tr w:rsidR="00564B95" w:rsidRPr="002B2821" w14:paraId="2F4E97C1" w14:textId="77777777" w:rsidTr="006704BD">
        <w:trPr>
          <w:trHeight w:val="252"/>
        </w:trPr>
        <w:tc>
          <w:tcPr>
            <w:tcW w:w="4820" w:type="dxa"/>
            <w:tcBorders>
              <w:top w:val="nil"/>
              <w:left w:val="nil"/>
              <w:bottom w:val="nil"/>
              <w:right w:val="nil"/>
            </w:tcBorders>
            <w:shd w:val="clear" w:color="auto" w:fill="auto"/>
            <w:noWrap/>
            <w:vAlign w:val="bottom"/>
            <w:hideMark/>
          </w:tcPr>
          <w:p w14:paraId="7AB67375"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Dividends, interest and rents from investments</w:t>
            </w:r>
          </w:p>
        </w:tc>
        <w:tc>
          <w:tcPr>
            <w:tcW w:w="574" w:type="dxa"/>
            <w:tcBorders>
              <w:top w:val="nil"/>
              <w:left w:val="nil"/>
              <w:bottom w:val="nil"/>
              <w:right w:val="nil"/>
            </w:tcBorders>
            <w:shd w:val="clear" w:color="auto" w:fill="auto"/>
            <w:noWrap/>
            <w:vAlign w:val="bottom"/>
            <w:hideMark/>
          </w:tcPr>
          <w:p w14:paraId="44784870"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557FD11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23866356"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4,504 </w:t>
            </w:r>
          </w:p>
        </w:tc>
        <w:tc>
          <w:tcPr>
            <w:tcW w:w="774" w:type="dxa"/>
            <w:gridSpan w:val="2"/>
            <w:tcBorders>
              <w:top w:val="nil"/>
              <w:left w:val="nil"/>
              <w:bottom w:val="nil"/>
              <w:right w:val="nil"/>
            </w:tcBorders>
            <w:shd w:val="clear" w:color="auto" w:fill="auto"/>
            <w:noWrap/>
            <w:vAlign w:val="bottom"/>
            <w:hideMark/>
          </w:tcPr>
          <w:p w14:paraId="759DA23F"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3B663A15"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3,631 </w:t>
            </w:r>
          </w:p>
        </w:tc>
        <w:tc>
          <w:tcPr>
            <w:tcW w:w="222" w:type="dxa"/>
            <w:gridSpan w:val="2"/>
            <w:tcBorders>
              <w:top w:val="nil"/>
              <w:left w:val="nil"/>
              <w:bottom w:val="nil"/>
              <w:right w:val="nil"/>
            </w:tcBorders>
            <w:shd w:val="clear" w:color="auto" w:fill="auto"/>
            <w:noWrap/>
            <w:vAlign w:val="bottom"/>
            <w:hideMark/>
          </w:tcPr>
          <w:p w14:paraId="5BCF0062"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1DA2B71E" w14:textId="77777777" w:rsidTr="006704BD">
        <w:trPr>
          <w:trHeight w:val="255"/>
        </w:trPr>
        <w:tc>
          <w:tcPr>
            <w:tcW w:w="4820" w:type="dxa"/>
            <w:tcBorders>
              <w:top w:val="nil"/>
              <w:left w:val="nil"/>
              <w:bottom w:val="nil"/>
              <w:right w:val="nil"/>
            </w:tcBorders>
            <w:shd w:val="clear" w:color="auto" w:fill="auto"/>
            <w:noWrap/>
            <w:vAlign w:val="bottom"/>
            <w:hideMark/>
          </w:tcPr>
          <w:p w14:paraId="75208D05"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Purchase of tangible fixed assets</w:t>
            </w:r>
          </w:p>
        </w:tc>
        <w:tc>
          <w:tcPr>
            <w:tcW w:w="574" w:type="dxa"/>
            <w:tcBorders>
              <w:top w:val="nil"/>
              <w:left w:val="nil"/>
              <w:bottom w:val="nil"/>
              <w:right w:val="nil"/>
            </w:tcBorders>
            <w:shd w:val="clear" w:color="auto" w:fill="auto"/>
            <w:noWrap/>
            <w:vAlign w:val="bottom"/>
            <w:hideMark/>
          </w:tcPr>
          <w:p w14:paraId="7CCEE4B6" w14:textId="77777777" w:rsidR="00564B95" w:rsidRPr="002B2821" w:rsidRDefault="00564B95" w:rsidP="00564B95">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8 </w:t>
            </w:r>
          </w:p>
        </w:tc>
        <w:tc>
          <w:tcPr>
            <w:tcW w:w="236" w:type="dxa"/>
            <w:gridSpan w:val="2"/>
            <w:tcBorders>
              <w:top w:val="nil"/>
              <w:left w:val="nil"/>
              <w:bottom w:val="nil"/>
              <w:right w:val="nil"/>
            </w:tcBorders>
            <w:shd w:val="clear" w:color="auto" w:fill="auto"/>
            <w:noWrap/>
            <w:vAlign w:val="bottom"/>
            <w:hideMark/>
          </w:tcPr>
          <w:p w14:paraId="2829098A" w14:textId="77777777" w:rsidR="00564B95" w:rsidRPr="002B2821" w:rsidRDefault="00564B95" w:rsidP="00564B95">
            <w:pPr>
              <w:spacing w:after="0" w:line="240" w:lineRule="auto"/>
              <w:jc w:val="center"/>
              <w:rPr>
                <w:rFonts w:ascii="Calibri" w:hAnsi="Calibri" w:cs="Arial"/>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495FAA81"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(25)</w:t>
            </w:r>
          </w:p>
        </w:tc>
        <w:tc>
          <w:tcPr>
            <w:tcW w:w="774" w:type="dxa"/>
            <w:gridSpan w:val="2"/>
            <w:tcBorders>
              <w:top w:val="nil"/>
              <w:left w:val="nil"/>
              <w:bottom w:val="nil"/>
              <w:right w:val="nil"/>
            </w:tcBorders>
            <w:shd w:val="clear" w:color="auto" w:fill="auto"/>
            <w:noWrap/>
            <w:vAlign w:val="bottom"/>
            <w:hideMark/>
          </w:tcPr>
          <w:p w14:paraId="761CF99E"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50A10BAC"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(21)</w:t>
            </w:r>
          </w:p>
        </w:tc>
        <w:tc>
          <w:tcPr>
            <w:tcW w:w="222" w:type="dxa"/>
            <w:gridSpan w:val="2"/>
            <w:tcBorders>
              <w:top w:val="nil"/>
              <w:left w:val="nil"/>
              <w:bottom w:val="nil"/>
              <w:right w:val="nil"/>
            </w:tcBorders>
            <w:shd w:val="clear" w:color="auto" w:fill="auto"/>
            <w:noWrap/>
            <w:vAlign w:val="bottom"/>
            <w:hideMark/>
          </w:tcPr>
          <w:p w14:paraId="4D49A744"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566B3A2B" w14:textId="77777777" w:rsidTr="006704BD">
        <w:trPr>
          <w:trHeight w:val="255"/>
        </w:trPr>
        <w:tc>
          <w:tcPr>
            <w:tcW w:w="4820" w:type="dxa"/>
            <w:tcBorders>
              <w:top w:val="nil"/>
              <w:left w:val="nil"/>
              <w:bottom w:val="nil"/>
              <w:right w:val="nil"/>
            </w:tcBorders>
            <w:shd w:val="clear" w:color="auto" w:fill="auto"/>
            <w:noWrap/>
            <w:vAlign w:val="bottom"/>
            <w:hideMark/>
          </w:tcPr>
          <w:p w14:paraId="0657C475"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Proceeds from sale of tangible fixed assets</w:t>
            </w:r>
          </w:p>
        </w:tc>
        <w:tc>
          <w:tcPr>
            <w:tcW w:w="574" w:type="dxa"/>
            <w:tcBorders>
              <w:top w:val="nil"/>
              <w:left w:val="nil"/>
              <w:bottom w:val="nil"/>
              <w:right w:val="nil"/>
            </w:tcBorders>
            <w:shd w:val="clear" w:color="auto" w:fill="auto"/>
            <w:noWrap/>
            <w:vAlign w:val="bottom"/>
            <w:hideMark/>
          </w:tcPr>
          <w:p w14:paraId="701865B6" w14:textId="77777777" w:rsidR="00564B95" w:rsidRPr="002B2821" w:rsidRDefault="00564B95" w:rsidP="00564B95">
            <w:pPr>
              <w:spacing w:after="0" w:line="240" w:lineRule="auto"/>
              <w:rPr>
                <w:rFonts w:ascii="Calibri" w:hAnsi="Calibri" w:cs="Arial"/>
                <w:color w:val="000000"/>
                <w:lang w:eastAsia="en-GB"/>
              </w:rPr>
            </w:pPr>
          </w:p>
        </w:tc>
        <w:tc>
          <w:tcPr>
            <w:tcW w:w="236" w:type="dxa"/>
            <w:gridSpan w:val="2"/>
            <w:tcBorders>
              <w:top w:val="nil"/>
              <w:left w:val="nil"/>
              <w:bottom w:val="nil"/>
              <w:right w:val="nil"/>
            </w:tcBorders>
            <w:shd w:val="clear" w:color="auto" w:fill="auto"/>
            <w:noWrap/>
            <w:vAlign w:val="bottom"/>
            <w:hideMark/>
          </w:tcPr>
          <w:p w14:paraId="7302F392" w14:textId="77777777" w:rsidR="00564B95" w:rsidRPr="002B2821" w:rsidRDefault="00564B95" w:rsidP="00564B95">
            <w:pPr>
              <w:spacing w:after="0" w:line="240" w:lineRule="auto"/>
              <w:jc w:val="center"/>
              <w:rPr>
                <w:lang w:eastAsia="en-GB"/>
              </w:rPr>
            </w:pPr>
          </w:p>
        </w:tc>
        <w:tc>
          <w:tcPr>
            <w:tcW w:w="1274" w:type="dxa"/>
            <w:gridSpan w:val="2"/>
            <w:tcBorders>
              <w:top w:val="nil"/>
              <w:left w:val="nil"/>
              <w:bottom w:val="nil"/>
              <w:right w:val="nil"/>
            </w:tcBorders>
            <w:shd w:val="clear" w:color="auto" w:fill="auto"/>
            <w:noWrap/>
            <w:vAlign w:val="bottom"/>
            <w:hideMark/>
          </w:tcPr>
          <w:p w14:paraId="53471D00"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20 </w:t>
            </w:r>
          </w:p>
        </w:tc>
        <w:tc>
          <w:tcPr>
            <w:tcW w:w="774" w:type="dxa"/>
            <w:gridSpan w:val="2"/>
            <w:tcBorders>
              <w:top w:val="nil"/>
              <w:left w:val="nil"/>
              <w:bottom w:val="nil"/>
              <w:right w:val="nil"/>
            </w:tcBorders>
            <w:shd w:val="clear" w:color="auto" w:fill="auto"/>
            <w:noWrap/>
            <w:vAlign w:val="bottom"/>
            <w:hideMark/>
          </w:tcPr>
          <w:p w14:paraId="6A3077AB"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606BBFD3"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6 </w:t>
            </w:r>
          </w:p>
        </w:tc>
        <w:tc>
          <w:tcPr>
            <w:tcW w:w="222" w:type="dxa"/>
            <w:gridSpan w:val="2"/>
            <w:tcBorders>
              <w:top w:val="nil"/>
              <w:left w:val="nil"/>
              <w:bottom w:val="nil"/>
              <w:right w:val="nil"/>
            </w:tcBorders>
            <w:shd w:val="clear" w:color="auto" w:fill="auto"/>
            <w:noWrap/>
            <w:vAlign w:val="bottom"/>
            <w:hideMark/>
          </w:tcPr>
          <w:p w14:paraId="20AAE04A"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25BB6FB4" w14:textId="77777777" w:rsidTr="006704BD">
        <w:trPr>
          <w:trHeight w:val="255"/>
        </w:trPr>
        <w:tc>
          <w:tcPr>
            <w:tcW w:w="4820" w:type="dxa"/>
            <w:tcBorders>
              <w:top w:val="nil"/>
              <w:left w:val="nil"/>
              <w:bottom w:val="nil"/>
              <w:right w:val="nil"/>
            </w:tcBorders>
            <w:shd w:val="clear" w:color="auto" w:fill="auto"/>
            <w:noWrap/>
            <w:vAlign w:val="bottom"/>
            <w:hideMark/>
          </w:tcPr>
          <w:p w14:paraId="6AA361CE"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Purchase of investments</w:t>
            </w:r>
          </w:p>
        </w:tc>
        <w:tc>
          <w:tcPr>
            <w:tcW w:w="574" w:type="dxa"/>
            <w:tcBorders>
              <w:top w:val="nil"/>
              <w:left w:val="nil"/>
              <w:bottom w:val="nil"/>
              <w:right w:val="nil"/>
            </w:tcBorders>
            <w:shd w:val="clear" w:color="auto" w:fill="auto"/>
            <w:noWrap/>
            <w:vAlign w:val="bottom"/>
            <w:hideMark/>
          </w:tcPr>
          <w:p w14:paraId="18EC020A" w14:textId="77777777" w:rsidR="00564B95" w:rsidRPr="002B2821" w:rsidRDefault="00564B95" w:rsidP="00564B95">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236" w:type="dxa"/>
            <w:gridSpan w:val="2"/>
            <w:tcBorders>
              <w:top w:val="nil"/>
              <w:left w:val="nil"/>
              <w:bottom w:val="nil"/>
              <w:right w:val="nil"/>
            </w:tcBorders>
            <w:shd w:val="clear" w:color="auto" w:fill="auto"/>
            <w:noWrap/>
            <w:vAlign w:val="bottom"/>
            <w:hideMark/>
          </w:tcPr>
          <w:p w14:paraId="31170A2F" w14:textId="77777777" w:rsidR="00564B95" w:rsidRPr="002B2821" w:rsidRDefault="00564B95" w:rsidP="00564B95">
            <w:pPr>
              <w:spacing w:after="0" w:line="240" w:lineRule="auto"/>
              <w:jc w:val="center"/>
              <w:rPr>
                <w:rFonts w:ascii="Calibri" w:hAnsi="Calibri" w:cs="Arial"/>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5BEE6AAA" w14:textId="65D4A04C" w:rsidR="00564B95" w:rsidRPr="002B2821" w:rsidRDefault="00564B95" w:rsidP="006130D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(42,9</w:t>
            </w:r>
            <w:r w:rsidR="006130DD" w:rsidRPr="002B2821">
              <w:rPr>
                <w:rFonts w:ascii="Calibri" w:hAnsi="Calibri" w:cs="Arial"/>
                <w:b/>
                <w:bCs/>
                <w:color w:val="000000"/>
                <w:sz w:val="24"/>
                <w:szCs w:val="24"/>
                <w:lang w:eastAsia="en-GB"/>
              </w:rPr>
              <w:t>92</w:t>
            </w:r>
            <w:r w:rsidRPr="002B2821">
              <w:rPr>
                <w:rFonts w:ascii="Calibri" w:hAnsi="Calibri" w:cs="Arial"/>
                <w:b/>
                <w:bCs/>
                <w:color w:val="000000"/>
                <w:sz w:val="24"/>
                <w:szCs w:val="24"/>
                <w:lang w:eastAsia="en-GB"/>
              </w:rPr>
              <w:t>)</w:t>
            </w:r>
          </w:p>
        </w:tc>
        <w:tc>
          <w:tcPr>
            <w:tcW w:w="774" w:type="dxa"/>
            <w:gridSpan w:val="2"/>
            <w:tcBorders>
              <w:top w:val="nil"/>
              <w:left w:val="nil"/>
              <w:bottom w:val="nil"/>
              <w:right w:val="nil"/>
            </w:tcBorders>
            <w:shd w:val="clear" w:color="auto" w:fill="auto"/>
            <w:noWrap/>
            <w:vAlign w:val="bottom"/>
            <w:hideMark/>
          </w:tcPr>
          <w:p w14:paraId="647EE16F"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729B4BD1"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(38,786)</w:t>
            </w:r>
          </w:p>
        </w:tc>
        <w:tc>
          <w:tcPr>
            <w:tcW w:w="222" w:type="dxa"/>
            <w:gridSpan w:val="2"/>
            <w:tcBorders>
              <w:top w:val="nil"/>
              <w:left w:val="nil"/>
              <w:bottom w:val="nil"/>
              <w:right w:val="nil"/>
            </w:tcBorders>
            <w:shd w:val="clear" w:color="auto" w:fill="auto"/>
            <w:noWrap/>
            <w:vAlign w:val="bottom"/>
            <w:hideMark/>
          </w:tcPr>
          <w:p w14:paraId="4AB891BA"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5CF1363" w14:textId="77777777" w:rsidTr="006704BD">
        <w:trPr>
          <w:trHeight w:val="293"/>
        </w:trPr>
        <w:tc>
          <w:tcPr>
            <w:tcW w:w="4820" w:type="dxa"/>
            <w:tcBorders>
              <w:top w:val="nil"/>
              <w:left w:val="nil"/>
              <w:bottom w:val="nil"/>
              <w:right w:val="nil"/>
            </w:tcBorders>
            <w:shd w:val="clear" w:color="auto" w:fill="auto"/>
            <w:noWrap/>
            <w:vAlign w:val="bottom"/>
            <w:hideMark/>
          </w:tcPr>
          <w:p w14:paraId="22B90BC8"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Proceeds from sale of investments</w:t>
            </w:r>
          </w:p>
        </w:tc>
        <w:tc>
          <w:tcPr>
            <w:tcW w:w="574" w:type="dxa"/>
            <w:tcBorders>
              <w:top w:val="nil"/>
              <w:left w:val="nil"/>
              <w:bottom w:val="nil"/>
              <w:right w:val="nil"/>
            </w:tcBorders>
            <w:shd w:val="clear" w:color="auto" w:fill="auto"/>
            <w:noWrap/>
            <w:vAlign w:val="bottom"/>
            <w:hideMark/>
          </w:tcPr>
          <w:p w14:paraId="3005C4C2" w14:textId="77777777" w:rsidR="00564B95" w:rsidRPr="002B2821" w:rsidRDefault="00564B95" w:rsidP="00564B95">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236" w:type="dxa"/>
            <w:gridSpan w:val="2"/>
            <w:tcBorders>
              <w:top w:val="nil"/>
              <w:left w:val="nil"/>
              <w:bottom w:val="nil"/>
              <w:right w:val="nil"/>
            </w:tcBorders>
            <w:shd w:val="clear" w:color="auto" w:fill="auto"/>
            <w:noWrap/>
            <w:vAlign w:val="bottom"/>
            <w:hideMark/>
          </w:tcPr>
          <w:p w14:paraId="685A1CCB" w14:textId="77777777" w:rsidR="00564B95" w:rsidRPr="002B2821" w:rsidRDefault="00564B95" w:rsidP="00564B95">
            <w:pPr>
              <w:spacing w:after="0" w:line="240" w:lineRule="auto"/>
              <w:jc w:val="center"/>
              <w:rPr>
                <w:rFonts w:ascii="Calibri" w:hAnsi="Calibri" w:cs="Arial"/>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640F7B2D" w14:textId="06EBAF0A" w:rsidR="00564B95" w:rsidRPr="002B2821" w:rsidRDefault="00564B95" w:rsidP="006130D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40,1</w:t>
            </w:r>
            <w:r w:rsidR="006130DD" w:rsidRPr="002B2821">
              <w:rPr>
                <w:rFonts w:ascii="Calibri" w:hAnsi="Calibri" w:cs="Arial"/>
                <w:b/>
                <w:bCs/>
                <w:color w:val="000000"/>
                <w:sz w:val="24"/>
                <w:szCs w:val="24"/>
                <w:lang w:eastAsia="en-GB"/>
              </w:rPr>
              <w:t>95</w:t>
            </w:r>
            <w:r w:rsidRPr="002B2821">
              <w:rPr>
                <w:rFonts w:ascii="Calibri" w:hAnsi="Calibri" w:cs="Arial"/>
                <w:b/>
                <w:bCs/>
                <w:color w:val="000000"/>
                <w:sz w:val="24"/>
                <w:szCs w:val="24"/>
                <w:lang w:eastAsia="en-GB"/>
              </w:rPr>
              <w:t xml:space="preserve"> </w:t>
            </w:r>
          </w:p>
        </w:tc>
        <w:tc>
          <w:tcPr>
            <w:tcW w:w="774" w:type="dxa"/>
            <w:gridSpan w:val="2"/>
            <w:tcBorders>
              <w:top w:val="nil"/>
              <w:left w:val="nil"/>
              <w:bottom w:val="nil"/>
              <w:right w:val="nil"/>
            </w:tcBorders>
            <w:shd w:val="clear" w:color="auto" w:fill="auto"/>
            <w:noWrap/>
            <w:vAlign w:val="bottom"/>
            <w:hideMark/>
          </w:tcPr>
          <w:p w14:paraId="40F5489C"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1CEF6BA8"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38,264 </w:t>
            </w:r>
          </w:p>
        </w:tc>
        <w:tc>
          <w:tcPr>
            <w:tcW w:w="222" w:type="dxa"/>
            <w:gridSpan w:val="2"/>
            <w:tcBorders>
              <w:top w:val="nil"/>
              <w:left w:val="nil"/>
              <w:bottom w:val="nil"/>
              <w:right w:val="nil"/>
            </w:tcBorders>
            <w:shd w:val="clear" w:color="auto" w:fill="auto"/>
            <w:noWrap/>
            <w:vAlign w:val="bottom"/>
            <w:hideMark/>
          </w:tcPr>
          <w:p w14:paraId="2801BD7C"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46957651" w14:textId="77777777" w:rsidTr="006704BD">
        <w:trPr>
          <w:trHeight w:val="312"/>
        </w:trPr>
        <w:tc>
          <w:tcPr>
            <w:tcW w:w="4820" w:type="dxa"/>
            <w:tcBorders>
              <w:top w:val="nil"/>
              <w:left w:val="nil"/>
              <w:bottom w:val="nil"/>
              <w:right w:val="nil"/>
            </w:tcBorders>
            <w:shd w:val="clear" w:color="auto" w:fill="auto"/>
            <w:noWrap/>
            <w:vAlign w:val="bottom"/>
            <w:hideMark/>
          </w:tcPr>
          <w:p w14:paraId="5427B8E5"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12ED13AB"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2C183ED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3930A9E2"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1AF217C6"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5486C425"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511FA8A4" w14:textId="77777777" w:rsidR="00564B95" w:rsidRPr="002B2821" w:rsidRDefault="00564B95" w:rsidP="00564B95">
            <w:pPr>
              <w:spacing w:after="0" w:line="240" w:lineRule="auto"/>
              <w:rPr>
                <w:lang w:eastAsia="en-GB"/>
              </w:rPr>
            </w:pPr>
          </w:p>
        </w:tc>
      </w:tr>
      <w:tr w:rsidR="00564B95" w:rsidRPr="002B2821" w14:paraId="18DE80BA" w14:textId="77777777" w:rsidTr="006704BD">
        <w:trPr>
          <w:trHeight w:val="255"/>
        </w:trPr>
        <w:tc>
          <w:tcPr>
            <w:tcW w:w="5394" w:type="dxa"/>
            <w:gridSpan w:val="2"/>
            <w:tcBorders>
              <w:top w:val="nil"/>
              <w:left w:val="nil"/>
              <w:bottom w:val="nil"/>
              <w:right w:val="nil"/>
            </w:tcBorders>
            <w:shd w:val="clear" w:color="auto" w:fill="auto"/>
            <w:noWrap/>
            <w:vAlign w:val="bottom"/>
            <w:hideMark/>
          </w:tcPr>
          <w:p w14:paraId="6EE8D9FD" w14:textId="658926EE" w:rsidR="00564B95" w:rsidRPr="002B2821" w:rsidRDefault="00564B95" w:rsidP="0082460C">
            <w:pPr>
              <w:spacing w:after="0" w:line="240" w:lineRule="auto"/>
              <w:rPr>
                <w:rFonts w:ascii="Calibri" w:hAnsi="Calibri" w:cs="Arial"/>
                <w:b/>
                <w:bCs/>
                <w:i/>
                <w:iCs/>
                <w:color w:val="000000"/>
                <w:sz w:val="24"/>
                <w:szCs w:val="24"/>
                <w:lang w:eastAsia="en-GB"/>
              </w:rPr>
            </w:pPr>
            <w:r w:rsidRPr="002B2821">
              <w:rPr>
                <w:rFonts w:ascii="Calibri" w:hAnsi="Calibri" w:cs="Arial"/>
                <w:b/>
                <w:bCs/>
                <w:i/>
                <w:iCs/>
                <w:color w:val="000000"/>
                <w:sz w:val="24"/>
                <w:szCs w:val="24"/>
                <w:lang w:eastAsia="en-GB"/>
              </w:rPr>
              <w:t xml:space="preserve">Net cash </w:t>
            </w:r>
            <w:r w:rsidR="00E16BD9" w:rsidRPr="002B2821">
              <w:rPr>
                <w:rFonts w:ascii="Calibri" w:hAnsi="Calibri" w:cs="Arial"/>
                <w:b/>
                <w:bCs/>
                <w:i/>
                <w:iCs/>
                <w:color w:val="000000"/>
                <w:sz w:val="24"/>
                <w:szCs w:val="24"/>
                <w:lang w:eastAsia="en-GB"/>
              </w:rPr>
              <w:t xml:space="preserve">(used in) </w:t>
            </w:r>
            <w:r w:rsidRPr="002B2821">
              <w:rPr>
                <w:rFonts w:ascii="Calibri" w:hAnsi="Calibri" w:cs="Arial"/>
                <w:b/>
                <w:bCs/>
                <w:i/>
                <w:iCs/>
                <w:color w:val="000000"/>
                <w:sz w:val="24"/>
                <w:szCs w:val="24"/>
                <w:lang w:eastAsia="en-GB"/>
              </w:rPr>
              <w:t>provided by investing activities</w:t>
            </w:r>
          </w:p>
        </w:tc>
        <w:tc>
          <w:tcPr>
            <w:tcW w:w="236" w:type="dxa"/>
            <w:gridSpan w:val="2"/>
            <w:tcBorders>
              <w:top w:val="nil"/>
              <w:left w:val="nil"/>
              <w:bottom w:val="nil"/>
              <w:right w:val="nil"/>
            </w:tcBorders>
            <w:shd w:val="clear" w:color="auto" w:fill="auto"/>
            <w:noWrap/>
            <w:vAlign w:val="bottom"/>
            <w:hideMark/>
          </w:tcPr>
          <w:p w14:paraId="75FFB392" w14:textId="77777777" w:rsidR="00564B95" w:rsidRPr="002B2821" w:rsidRDefault="00564B95" w:rsidP="00564B95">
            <w:pPr>
              <w:spacing w:after="0" w:line="240" w:lineRule="auto"/>
              <w:rPr>
                <w:rFonts w:ascii="Calibri" w:hAnsi="Calibri" w:cs="Arial"/>
                <w:b/>
                <w:bCs/>
                <w:i/>
                <w:iCs/>
                <w:color w:val="000000"/>
                <w:sz w:val="24"/>
                <w:szCs w:val="24"/>
                <w:lang w:eastAsia="en-GB"/>
              </w:rPr>
            </w:pPr>
          </w:p>
        </w:tc>
        <w:tc>
          <w:tcPr>
            <w:tcW w:w="1274" w:type="dxa"/>
            <w:gridSpan w:val="2"/>
            <w:tcBorders>
              <w:top w:val="single" w:sz="4" w:space="0" w:color="3C3C3C"/>
              <w:left w:val="nil"/>
              <w:bottom w:val="single" w:sz="4" w:space="0" w:color="3C3C3C"/>
              <w:right w:val="nil"/>
            </w:tcBorders>
            <w:shd w:val="clear" w:color="auto" w:fill="auto"/>
            <w:noWrap/>
            <w:vAlign w:val="bottom"/>
            <w:hideMark/>
          </w:tcPr>
          <w:p w14:paraId="6D98E132"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1,702 </w:t>
            </w:r>
          </w:p>
        </w:tc>
        <w:tc>
          <w:tcPr>
            <w:tcW w:w="774" w:type="dxa"/>
            <w:gridSpan w:val="2"/>
            <w:tcBorders>
              <w:top w:val="nil"/>
              <w:left w:val="nil"/>
              <w:bottom w:val="nil"/>
              <w:right w:val="nil"/>
            </w:tcBorders>
            <w:shd w:val="clear" w:color="auto" w:fill="auto"/>
            <w:noWrap/>
            <w:vAlign w:val="bottom"/>
            <w:hideMark/>
          </w:tcPr>
          <w:p w14:paraId="1D04306E"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single" w:sz="4" w:space="0" w:color="3C3C3C"/>
              <w:left w:val="nil"/>
              <w:bottom w:val="single" w:sz="4" w:space="0" w:color="3C3C3C"/>
              <w:right w:val="nil"/>
            </w:tcBorders>
            <w:shd w:val="clear" w:color="auto" w:fill="auto"/>
            <w:noWrap/>
            <w:vAlign w:val="bottom"/>
            <w:hideMark/>
          </w:tcPr>
          <w:p w14:paraId="44C2A9C7"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3,094 </w:t>
            </w:r>
          </w:p>
        </w:tc>
        <w:tc>
          <w:tcPr>
            <w:tcW w:w="222" w:type="dxa"/>
            <w:gridSpan w:val="2"/>
            <w:tcBorders>
              <w:top w:val="nil"/>
              <w:left w:val="nil"/>
              <w:bottom w:val="nil"/>
              <w:right w:val="nil"/>
            </w:tcBorders>
            <w:shd w:val="clear" w:color="auto" w:fill="auto"/>
            <w:noWrap/>
            <w:vAlign w:val="bottom"/>
            <w:hideMark/>
          </w:tcPr>
          <w:p w14:paraId="7AF80B82"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352116F" w14:textId="77777777" w:rsidTr="006704BD">
        <w:trPr>
          <w:trHeight w:val="255"/>
        </w:trPr>
        <w:tc>
          <w:tcPr>
            <w:tcW w:w="4820" w:type="dxa"/>
            <w:tcBorders>
              <w:top w:val="nil"/>
              <w:left w:val="nil"/>
              <w:bottom w:val="nil"/>
              <w:right w:val="nil"/>
            </w:tcBorders>
            <w:shd w:val="clear" w:color="auto" w:fill="auto"/>
            <w:noWrap/>
            <w:vAlign w:val="bottom"/>
            <w:hideMark/>
          </w:tcPr>
          <w:p w14:paraId="2AFD14D9"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4A1581ED"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36264AAC"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760B7FB3"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322EE05A"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4B61ACF1"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7D3487FE" w14:textId="77777777" w:rsidR="00564B95" w:rsidRPr="002B2821" w:rsidRDefault="00564B95" w:rsidP="00564B95">
            <w:pPr>
              <w:spacing w:after="0" w:line="240" w:lineRule="auto"/>
              <w:rPr>
                <w:lang w:eastAsia="en-GB"/>
              </w:rPr>
            </w:pPr>
          </w:p>
        </w:tc>
      </w:tr>
      <w:tr w:rsidR="00564B95" w:rsidRPr="002B2821" w14:paraId="104F00A6" w14:textId="77777777" w:rsidTr="006704BD">
        <w:trPr>
          <w:trHeight w:val="312"/>
        </w:trPr>
        <w:tc>
          <w:tcPr>
            <w:tcW w:w="4820" w:type="dxa"/>
            <w:tcBorders>
              <w:top w:val="nil"/>
              <w:left w:val="nil"/>
              <w:bottom w:val="nil"/>
              <w:right w:val="nil"/>
            </w:tcBorders>
            <w:shd w:val="clear" w:color="auto" w:fill="auto"/>
            <w:noWrap/>
            <w:vAlign w:val="bottom"/>
            <w:hideMark/>
          </w:tcPr>
          <w:p w14:paraId="5E73BA65"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18C2A430"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7E2183B3"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6C6680E"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6492CF01"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F1C451C"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2A9424A8" w14:textId="77777777" w:rsidR="00564B95" w:rsidRPr="002B2821" w:rsidRDefault="00564B95" w:rsidP="00564B95">
            <w:pPr>
              <w:spacing w:after="0" w:line="240" w:lineRule="auto"/>
              <w:rPr>
                <w:lang w:eastAsia="en-GB"/>
              </w:rPr>
            </w:pPr>
          </w:p>
        </w:tc>
      </w:tr>
      <w:tr w:rsidR="00564B95" w:rsidRPr="002B2821" w14:paraId="77FE855F" w14:textId="77777777" w:rsidTr="006704BD">
        <w:trPr>
          <w:trHeight w:val="312"/>
        </w:trPr>
        <w:tc>
          <w:tcPr>
            <w:tcW w:w="4820" w:type="dxa"/>
            <w:tcBorders>
              <w:top w:val="nil"/>
              <w:left w:val="nil"/>
              <w:bottom w:val="nil"/>
              <w:right w:val="nil"/>
            </w:tcBorders>
            <w:shd w:val="clear" w:color="auto" w:fill="auto"/>
            <w:noWrap/>
            <w:vAlign w:val="bottom"/>
            <w:hideMark/>
          </w:tcPr>
          <w:p w14:paraId="41D89BF3" w14:textId="77777777"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Change in cash and cash equivalents in the </w:t>
            </w:r>
          </w:p>
        </w:tc>
        <w:tc>
          <w:tcPr>
            <w:tcW w:w="574" w:type="dxa"/>
            <w:tcBorders>
              <w:top w:val="nil"/>
              <w:left w:val="nil"/>
              <w:bottom w:val="nil"/>
              <w:right w:val="nil"/>
            </w:tcBorders>
            <w:shd w:val="clear" w:color="auto" w:fill="auto"/>
            <w:noWrap/>
            <w:vAlign w:val="bottom"/>
            <w:hideMark/>
          </w:tcPr>
          <w:p w14:paraId="2DE3833C"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0C2E52FE"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832849B"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75162032"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CDE21F6"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20C9C7B1" w14:textId="77777777" w:rsidR="00564B95" w:rsidRPr="002B2821" w:rsidRDefault="00564B95" w:rsidP="00564B95">
            <w:pPr>
              <w:spacing w:after="0" w:line="240" w:lineRule="auto"/>
              <w:rPr>
                <w:lang w:eastAsia="en-GB"/>
              </w:rPr>
            </w:pPr>
          </w:p>
        </w:tc>
      </w:tr>
      <w:tr w:rsidR="00564B95" w:rsidRPr="002B2821" w14:paraId="68CA1F2C" w14:textId="77777777" w:rsidTr="006704BD">
        <w:trPr>
          <w:trHeight w:val="255"/>
        </w:trPr>
        <w:tc>
          <w:tcPr>
            <w:tcW w:w="4820" w:type="dxa"/>
            <w:tcBorders>
              <w:top w:val="nil"/>
              <w:left w:val="nil"/>
              <w:bottom w:val="nil"/>
              <w:right w:val="nil"/>
            </w:tcBorders>
            <w:shd w:val="clear" w:color="auto" w:fill="auto"/>
            <w:noWrap/>
            <w:vAlign w:val="bottom"/>
            <w:hideMark/>
          </w:tcPr>
          <w:p w14:paraId="7A4F96ED" w14:textId="77777777"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reporting period</w:t>
            </w:r>
          </w:p>
        </w:tc>
        <w:tc>
          <w:tcPr>
            <w:tcW w:w="574" w:type="dxa"/>
            <w:tcBorders>
              <w:top w:val="nil"/>
              <w:left w:val="nil"/>
              <w:bottom w:val="nil"/>
              <w:right w:val="nil"/>
            </w:tcBorders>
            <w:shd w:val="clear" w:color="auto" w:fill="auto"/>
            <w:noWrap/>
            <w:vAlign w:val="bottom"/>
            <w:hideMark/>
          </w:tcPr>
          <w:p w14:paraId="5A5E0765"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644E8CEC"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348134C5"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(7,942)</w:t>
            </w:r>
          </w:p>
        </w:tc>
        <w:tc>
          <w:tcPr>
            <w:tcW w:w="774" w:type="dxa"/>
            <w:gridSpan w:val="2"/>
            <w:tcBorders>
              <w:top w:val="nil"/>
              <w:left w:val="nil"/>
              <w:bottom w:val="nil"/>
              <w:right w:val="nil"/>
            </w:tcBorders>
            <w:shd w:val="clear" w:color="auto" w:fill="auto"/>
            <w:noWrap/>
            <w:vAlign w:val="bottom"/>
            <w:hideMark/>
          </w:tcPr>
          <w:p w14:paraId="5BD226C8"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2826AFDB"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3,585 </w:t>
            </w:r>
          </w:p>
        </w:tc>
        <w:tc>
          <w:tcPr>
            <w:tcW w:w="222" w:type="dxa"/>
            <w:gridSpan w:val="2"/>
            <w:tcBorders>
              <w:top w:val="nil"/>
              <w:left w:val="nil"/>
              <w:bottom w:val="nil"/>
              <w:right w:val="nil"/>
            </w:tcBorders>
            <w:shd w:val="clear" w:color="auto" w:fill="auto"/>
            <w:noWrap/>
            <w:vAlign w:val="bottom"/>
            <w:hideMark/>
          </w:tcPr>
          <w:p w14:paraId="6F353F4B"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141A238E" w14:textId="77777777" w:rsidTr="006704BD">
        <w:trPr>
          <w:trHeight w:val="147"/>
        </w:trPr>
        <w:tc>
          <w:tcPr>
            <w:tcW w:w="4820" w:type="dxa"/>
            <w:tcBorders>
              <w:top w:val="nil"/>
              <w:left w:val="nil"/>
              <w:bottom w:val="nil"/>
              <w:right w:val="nil"/>
            </w:tcBorders>
            <w:shd w:val="clear" w:color="auto" w:fill="auto"/>
            <w:noWrap/>
            <w:vAlign w:val="bottom"/>
            <w:hideMark/>
          </w:tcPr>
          <w:p w14:paraId="2D1ACFCD"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78A2A5C4"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12BE362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263164CB"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4FF490AB"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745ED08D"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7473A8A8" w14:textId="77777777" w:rsidR="00564B95" w:rsidRPr="002B2821" w:rsidRDefault="00564B95" w:rsidP="00564B95">
            <w:pPr>
              <w:spacing w:after="0" w:line="240" w:lineRule="auto"/>
              <w:rPr>
                <w:lang w:eastAsia="en-GB"/>
              </w:rPr>
            </w:pPr>
          </w:p>
        </w:tc>
      </w:tr>
      <w:tr w:rsidR="00564B95" w:rsidRPr="002B2821" w14:paraId="4ABE7389" w14:textId="77777777" w:rsidTr="006704BD">
        <w:trPr>
          <w:trHeight w:val="255"/>
        </w:trPr>
        <w:tc>
          <w:tcPr>
            <w:tcW w:w="4820" w:type="dxa"/>
            <w:tcBorders>
              <w:top w:val="nil"/>
              <w:left w:val="nil"/>
              <w:bottom w:val="nil"/>
              <w:right w:val="nil"/>
            </w:tcBorders>
            <w:shd w:val="clear" w:color="auto" w:fill="auto"/>
            <w:noWrap/>
            <w:vAlign w:val="bottom"/>
            <w:hideMark/>
          </w:tcPr>
          <w:p w14:paraId="49D2AF10" w14:textId="3550EC4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and cash equivalents as 1 October 2017</w:t>
            </w:r>
            <w:r w:rsidR="005C5BF4">
              <w:rPr>
                <w:rFonts w:ascii="Calibri" w:hAnsi="Calibri" w:cs="Arial"/>
                <w:color w:val="000000"/>
                <w:sz w:val="24"/>
                <w:szCs w:val="24"/>
                <w:lang w:eastAsia="en-GB"/>
              </w:rPr>
              <w:t>/2016</w:t>
            </w:r>
          </w:p>
        </w:tc>
        <w:tc>
          <w:tcPr>
            <w:tcW w:w="574" w:type="dxa"/>
            <w:tcBorders>
              <w:top w:val="nil"/>
              <w:left w:val="nil"/>
              <w:bottom w:val="nil"/>
              <w:right w:val="nil"/>
            </w:tcBorders>
            <w:shd w:val="clear" w:color="auto" w:fill="auto"/>
            <w:noWrap/>
            <w:vAlign w:val="bottom"/>
            <w:hideMark/>
          </w:tcPr>
          <w:p w14:paraId="3292E6A9"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48A79FC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1AAADCD"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20,572 </w:t>
            </w:r>
          </w:p>
        </w:tc>
        <w:tc>
          <w:tcPr>
            <w:tcW w:w="774" w:type="dxa"/>
            <w:gridSpan w:val="2"/>
            <w:tcBorders>
              <w:top w:val="nil"/>
              <w:left w:val="nil"/>
              <w:bottom w:val="nil"/>
              <w:right w:val="nil"/>
            </w:tcBorders>
            <w:shd w:val="clear" w:color="auto" w:fill="auto"/>
            <w:noWrap/>
            <w:vAlign w:val="bottom"/>
            <w:hideMark/>
          </w:tcPr>
          <w:p w14:paraId="6BDA7700"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3714198F"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16,987 </w:t>
            </w:r>
          </w:p>
        </w:tc>
        <w:tc>
          <w:tcPr>
            <w:tcW w:w="222" w:type="dxa"/>
            <w:gridSpan w:val="2"/>
            <w:tcBorders>
              <w:top w:val="nil"/>
              <w:left w:val="nil"/>
              <w:bottom w:val="nil"/>
              <w:right w:val="nil"/>
            </w:tcBorders>
            <w:shd w:val="clear" w:color="auto" w:fill="auto"/>
            <w:noWrap/>
            <w:vAlign w:val="bottom"/>
            <w:hideMark/>
          </w:tcPr>
          <w:p w14:paraId="192565C8"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762E9A9B" w14:textId="77777777" w:rsidTr="006704BD">
        <w:trPr>
          <w:trHeight w:val="255"/>
        </w:trPr>
        <w:tc>
          <w:tcPr>
            <w:tcW w:w="4820" w:type="dxa"/>
            <w:tcBorders>
              <w:top w:val="nil"/>
              <w:left w:val="nil"/>
              <w:bottom w:val="nil"/>
              <w:right w:val="nil"/>
            </w:tcBorders>
            <w:shd w:val="clear" w:color="auto" w:fill="auto"/>
            <w:noWrap/>
            <w:vAlign w:val="bottom"/>
            <w:hideMark/>
          </w:tcPr>
          <w:p w14:paraId="07632C5C"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02A973E2"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39CF49E4"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05290C9"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5A896182"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36EA70B"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270B43A3" w14:textId="77777777" w:rsidR="00564B95" w:rsidRPr="002B2821" w:rsidRDefault="00564B95" w:rsidP="00564B95">
            <w:pPr>
              <w:spacing w:after="0" w:line="240" w:lineRule="auto"/>
              <w:rPr>
                <w:lang w:eastAsia="en-GB"/>
              </w:rPr>
            </w:pPr>
          </w:p>
        </w:tc>
      </w:tr>
      <w:tr w:rsidR="00564B95" w:rsidRPr="002B2821" w14:paraId="2FEA0A9A" w14:textId="77777777" w:rsidTr="006704BD">
        <w:trPr>
          <w:gridAfter w:val="1"/>
          <w:wAfter w:w="14" w:type="dxa"/>
          <w:trHeight w:val="255"/>
        </w:trPr>
        <w:tc>
          <w:tcPr>
            <w:tcW w:w="5616" w:type="dxa"/>
            <w:gridSpan w:val="3"/>
            <w:tcBorders>
              <w:top w:val="nil"/>
              <w:left w:val="nil"/>
              <w:bottom w:val="nil"/>
              <w:right w:val="nil"/>
            </w:tcBorders>
            <w:shd w:val="clear" w:color="auto" w:fill="auto"/>
            <w:noWrap/>
            <w:vAlign w:val="bottom"/>
            <w:hideMark/>
          </w:tcPr>
          <w:p w14:paraId="74EE16B4" w14:textId="4E2470E2"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Cash and cash equivalents as at 30 September 2018</w:t>
            </w:r>
            <w:r w:rsidR="005C5BF4">
              <w:rPr>
                <w:rFonts w:ascii="Calibri" w:hAnsi="Calibri" w:cs="Arial"/>
                <w:b/>
                <w:bCs/>
                <w:color w:val="000000"/>
                <w:sz w:val="24"/>
                <w:szCs w:val="24"/>
                <w:lang w:eastAsia="en-GB"/>
              </w:rPr>
              <w:t>/2017</w:t>
            </w:r>
          </w:p>
        </w:tc>
        <w:tc>
          <w:tcPr>
            <w:tcW w:w="1274" w:type="dxa"/>
            <w:gridSpan w:val="2"/>
            <w:tcBorders>
              <w:top w:val="single" w:sz="4" w:space="0" w:color="000000"/>
              <w:left w:val="nil"/>
              <w:bottom w:val="single" w:sz="4" w:space="0" w:color="000000"/>
              <w:right w:val="nil"/>
            </w:tcBorders>
            <w:shd w:val="clear" w:color="auto" w:fill="auto"/>
            <w:noWrap/>
            <w:vAlign w:val="bottom"/>
            <w:hideMark/>
          </w:tcPr>
          <w:p w14:paraId="6CE9F4E5"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12,630 </w:t>
            </w:r>
          </w:p>
        </w:tc>
        <w:tc>
          <w:tcPr>
            <w:tcW w:w="774" w:type="dxa"/>
            <w:gridSpan w:val="2"/>
            <w:tcBorders>
              <w:top w:val="nil"/>
              <w:left w:val="nil"/>
              <w:bottom w:val="nil"/>
              <w:right w:val="nil"/>
            </w:tcBorders>
            <w:shd w:val="clear" w:color="auto" w:fill="auto"/>
            <w:noWrap/>
            <w:vAlign w:val="bottom"/>
            <w:hideMark/>
          </w:tcPr>
          <w:p w14:paraId="6664D89F"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single" w:sz="4" w:space="0" w:color="000000"/>
              <w:left w:val="nil"/>
              <w:bottom w:val="single" w:sz="4" w:space="0" w:color="000000"/>
              <w:right w:val="nil"/>
            </w:tcBorders>
            <w:shd w:val="clear" w:color="auto" w:fill="auto"/>
            <w:noWrap/>
            <w:vAlign w:val="bottom"/>
            <w:hideMark/>
          </w:tcPr>
          <w:p w14:paraId="45D72719"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20,572 </w:t>
            </w:r>
          </w:p>
        </w:tc>
        <w:tc>
          <w:tcPr>
            <w:tcW w:w="222" w:type="dxa"/>
            <w:gridSpan w:val="2"/>
            <w:tcBorders>
              <w:top w:val="nil"/>
              <w:left w:val="nil"/>
              <w:bottom w:val="nil"/>
              <w:right w:val="nil"/>
            </w:tcBorders>
            <w:shd w:val="clear" w:color="auto" w:fill="auto"/>
            <w:noWrap/>
            <w:vAlign w:val="bottom"/>
            <w:hideMark/>
          </w:tcPr>
          <w:p w14:paraId="6A03D407"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3405D920" w14:textId="77777777" w:rsidTr="006704BD">
        <w:trPr>
          <w:trHeight w:val="255"/>
        </w:trPr>
        <w:tc>
          <w:tcPr>
            <w:tcW w:w="4820" w:type="dxa"/>
            <w:tcBorders>
              <w:top w:val="nil"/>
              <w:left w:val="nil"/>
              <w:bottom w:val="nil"/>
              <w:right w:val="nil"/>
            </w:tcBorders>
            <w:shd w:val="clear" w:color="auto" w:fill="auto"/>
            <w:noWrap/>
            <w:vAlign w:val="bottom"/>
            <w:hideMark/>
          </w:tcPr>
          <w:p w14:paraId="40A58BAA"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29EBCACE"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55D016B4"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2B03D760"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4D6A4B80"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01DF4E3D"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6EC91A60" w14:textId="77777777" w:rsidR="00564B95" w:rsidRPr="002B2821" w:rsidRDefault="00564B95" w:rsidP="00564B95">
            <w:pPr>
              <w:spacing w:after="0" w:line="240" w:lineRule="auto"/>
              <w:rPr>
                <w:lang w:eastAsia="en-GB"/>
              </w:rPr>
            </w:pPr>
          </w:p>
        </w:tc>
      </w:tr>
      <w:tr w:rsidR="00564B95" w:rsidRPr="002B2821" w14:paraId="38DD3E38" w14:textId="77777777" w:rsidTr="006704BD">
        <w:trPr>
          <w:trHeight w:val="255"/>
        </w:trPr>
        <w:tc>
          <w:tcPr>
            <w:tcW w:w="4820" w:type="dxa"/>
            <w:tcBorders>
              <w:top w:val="nil"/>
              <w:left w:val="nil"/>
              <w:bottom w:val="nil"/>
              <w:right w:val="nil"/>
            </w:tcBorders>
            <w:shd w:val="clear" w:color="auto" w:fill="auto"/>
            <w:noWrap/>
            <w:vAlign w:val="bottom"/>
            <w:hideMark/>
          </w:tcPr>
          <w:p w14:paraId="5F6781F5"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held for investment</w:t>
            </w:r>
          </w:p>
        </w:tc>
        <w:tc>
          <w:tcPr>
            <w:tcW w:w="574" w:type="dxa"/>
            <w:tcBorders>
              <w:top w:val="nil"/>
              <w:left w:val="nil"/>
              <w:bottom w:val="nil"/>
              <w:right w:val="nil"/>
            </w:tcBorders>
            <w:shd w:val="clear" w:color="auto" w:fill="auto"/>
            <w:noWrap/>
            <w:vAlign w:val="bottom"/>
            <w:hideMark/>
          </w:tcPr>
          <w:p w14:paraId="20F16BF9" w14:textId="77777777" w:rsidR="00564B95" w:rsidRPr="002B2821" w:rsidRDefault="00564B95" w:rsidP="00564B95">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236" w:type="dxa"/>
            <w:gridSpan w:val="2"/>
            <w:tcBorders>
              <w:top w:val="nil"/>
              <w:left w:val="nil"/>
              <w:bottom w:val="nil"/>
              <w:right w:val="nil"/>
            </w:tcBorders>
            <w:shd w:val="clear" w:color="auto" w:fill="auto"/>
            <w:noWrap/>
            <w:vAlign w:val="bottom"/>
            <w:hideMark/>
          </w:tcPr>
          <w:p w14:paraId="68C7EC5F" w14:textId="77777777" w:rsidR="00564B95" w:rsidRPr="002B2821" w:rsidRDefault="00564B95" w:rsidP="00564B95">
            <w:pPr>
              <w:spacing w:after="0" w:line="240" w:lineRule="auto"/>
              <w:jc w:val="center"/>
              <w:rPr>
                <w:rFonts w:ascii="Calibri" w:hAnsi="Calibri" w:cs="Arial"/>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58C3EC33"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2,768 </w:t>
            </w:r>
          </w:p>
        </w:tc>
        <w:tc>
          <w:tcPr>
            <w:tcW w:w="774" w:type="dxa"/>
            <w:gridSpan w:val="2"/>
            <w:tcBorders>
              <w:top w:val="nil"/>
              <w:left w:val="nil"/>
              <w:bottom w:val="nil"/>
              <w:right w:val="nil"/>
            </w:tcBorders>
            <w:shd w:val="clear" w:color="auto" w:fill="auto"/>
            <w:noWrap/>
            <w:vAlign w:val="bottom"/>
            <w:hideMark/>
          </w:tcPr>
          <w:p w14:paraId="6F494BBF"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69EBDBD1"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5,466 </w:t>
            </w:r>
          </w:p>
        </w:tc>
        <w:tc>
          <w:tcPr>
            <w:tcW w:w="222" w:type="dxa"/>
            <w:gridSpan w:val="2"/>
            <w:tcBorders>
              <w:top w:val="nil"/>
              <w:left w:val="nil"/>
              <w:bottom w:val="nil"/>
              <w:right w:val="nil"/>
            </w:tcBorders>
            <w:shd w:val="clear" w:color="auto" w:fill="auto"/>
            <w:noWrap/>
            <w:vAlign w:val="bottom"/>
            <w:hideMark/>
          </w:tcPr>
          <w:p w14:paraId="185CBD77"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A9EA77E" w14:textId="77777777" w:rsidTr="006704BD">
        <w:trPr>
          <w:trHeight w:val="255"/>
        </w:trPr>
        <w:tc>
          <w:tcPr>
            <w:tcW w:w="4820" w:type="dxa"/>
            <w:tcBorders>
              <w:top w:val="nil"/>
              <w:left w:val="nil"/>
              <w:bottom w:val="nil"/>
              <w:right w:val="nil"/>
            </w:tcBorders>
            <w:shd w:val="clear" w:color="auto" w:fill="auto"/>
            <w:noWrap/>
            <w:vAlign w:val="bottom"/>
            <w:hideMark/>
          </w:tcPr>
          <w:p w14:paraId="1AA8C8D5"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at bank and in hand</w:t>
            </w:r>
          </w:p>
        </w:tc>
        <w:tc>
          <w:tcPr>
            <w:tcW w:w="574" w:type="dxa"/>
            <w:tcBorders>
              <w:top w:val="nil"/>
              <w:left w:val="nil"/>
              <w:bottom w:val="nil"/>
              <w:right w:val="nil"/>
            </w:tcBorders>
            <w:shd w:val="clear" w:color="auto" w:fill="auto"/>
            <w:noWrap/>
            <w:vAlign w:val="bottom"/>
            <w:hideMark/>
          </w:tcPr>
          <w:p w14:paraId="582D48BA"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5C4BEDF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7F63516"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9,862 </w:t>
            </w:r>
          </w:p>
        </w:tc>
        <w:tc>
          <w:tcPr>
            <w:tcW w:w="774" w:type="dxa"/>
            <w:gridSpan w:val="2"/>
            <w:tcBorders>
              <w:top w:val="nil"/>
              <w:left w:val="nil"/>
              <w:bottom w:val="nil"/>
              <w:right w:val="nil"/>
            </w:tcBorders>
            <w:shd w:val="clear" w:color="auto" w:fill="auto"/>
            <w:noWrap/>
            <w:vAlign w:val="bottom"/>
            <w:hideMark/>
          </w:tcPr>
          <w:p w14:paraId="6B5F8AF2"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4B624CB7"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15,106 </w:t>
            </w:r>
          </w:p>
        </w:tc>
        <w:tc>
          <w:tcPr>
            <w:tcW w:w="222" w:type="dxa"/>
            <w:gridSpan w:val="2"/>
            <w:tcBorders>
              <w:top w:val="nil"/>
              <w:left w:val="nil"/>
              <w:bottom w:val="nil"/>
              <w:right w:val="nil"/>
            </w:tcBorders>
            <w:shd w:val="clear" w:color="auto" w:fill="auto"/>
            <w:noWrap/>
            <w:vAlign w:val="bottom"/>
            <w:hideMark/>
          </w:tcPr>
          <w:p w14:paraId="1525EA6A"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480533F3" w14:textId="77777777" w:rsidTr="006704BD">
        <w:trPr>
          <w:trHeight w:val="255"/>
        </w:trPr>
        <w:tc>
          <w:tcPr>
            <w:tcW w:w="4820" w:type="dxa"/>
            <w:tcBorders>
              <w:top w:val="nil"/>
              <w:left w:val="nil"/>
              <w:bottom w:val="nil"/>
              <w:right w:val="nil"/>
            </w:tcBorders>
            <w:shd w:val="clear" w:color="auto" w:fill="auto"/>
            <w:noWrap/>
            <w:vAlign w:val="bottom"/>
            <w:hideMark/>
          </w:tcPr>
          <w:p w14:paraId="638C7572"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1E828D1A"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116BED7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7482ECD0"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5DC3D2EF"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3C7FFFE7"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15891C09" w14:textId="77777777" w:rsidR="00564B95" w:rsidRPr="002B2821" w:rsidRDefault="00564B95" w:rsidP="00564B95">
            <w:pPr>
              <w:spacing w:after="0" w:line="240" w:lineRule="auto"/>
              <w:rPr>
                <w:lang w:eastAsia="en-GB"/>
              </w:rPr>
            </w:pPr>
          </w:p>
        </w:tc>
      </w:tr>
      <w:tr w:rsidR="00564B95" w:rsidRPr="002B2821" w14:paraId="6562297B" w14:textId="77777777" w:rsidTr="006704BD">
        <w:trPr>
          <w:trHeight w:val="255"/>
        </w:trPr>
        <w:tc>
          <w:tcPr>
            <w:tcW w:w="4820" w:type="dxa"/>
            <w:tcBorders>
              <w:top w:val="nil"/>
              <w:left w:val="nil"/>
              <w:bottom w:val="nil"/>
              <w:right w:val="nil"/>
            </w:tcBorders>
            <w:shd w:val="clear" w:color="auto" w:fill="auto"/>
            <w:noWrap/>
            <w:vAlign w:val="bottom"/>
            <w:hideMark/>
          </w:tcPr>
          <w:p w14:paraId="0AA6D157" w14:textId="4B413A4E"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Cash </w:t>
            </w:r>
            <w:r w:rsidR="005C5BF4">
              <w:rPr>
                <w:rFonts w:ascii="Calibri" w:hAnsi="Calibri" w:cs="Arial"/>
                <w:b/>
                <w:bCs/>
                <w:color w:val="000000"/>
                <w:sz w:val="24"/>
                <w:szCs w:val="24"/>
                <w:lang w:eastAsia="en-GB"/>
              </w:rPr>
              <w:t xml:space="preserve">and cash equivalents </w:t>
            </w:r>
            <w:r w:rsidRPr="002B2821">
              <w:rPr>
                <w:rFonts w:ascii="Calibri" w:hAnsi="Calibri" w:cs="Arial"/>
                <w:b/>
                <w:bCs/>
                <w:color w:val="000000"/>
                <w:sz w:val="24"/>
                <w:szCs w:val="24"/>
                <w:lang w:eastAsia="en-GB"/>
              </w:rPr>
              <w:t>as at 30 September 2018</w:t>
            </w:r>
            <w:r w:rsidR="005C5BF4">
              <w:rPr>
                <w:rFonts w:ascii="Calibri" w:hAnsi="Calibri" w:cs="Arial"/>
                <w:b/>
                <w:bCs/>
                <w:color w:val="000000"/>
                <w:sz w:val="24"/>
                <w:szCs w:val="24"/>
                <w:lang w:eastAsia="en-GB"/>
              </w:rPr>
              <w:t>/2017</w:t>
            </w:r>
          </w:p>
        </w:tc>
        <w:tc>
          <w:tcPr>
            <w:tcW w:w="574" w:type="dxa"/>
            <w:tcBorders>
              <w:top w:val="nil"/>
              <w:left w:val="nil"/>
              <w:bottom w:val="nil"/>
              <w:right w:val="nil"/>
            </w:tcBorders>
            <w:shd w:val="clear" w:color="auto" w:fill="auto"/>
            <w:noWrap/>
            <w:vAlign w:val="bottom"/>
            <w:hideMark/>
          </w:tcPr>
          <w:p w14:paraId="3CB9A4D6"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38F5825B" w14:textId="77777777" w:rsidR="00564B95" w:rsidRPr="002B2821" w:rsidRDefault="00564B95" w:rsidP="00564B95">
            <w:pPr>
              <w:spacing w:after="0" w:line="240" w:lineRule="auto"/>
              <w:rPr>
                <w:lang w:eastAsia="en-GB"/>
              </w:rPr>
            </w:pPr>
          </w:p>
        </w:tc>
        <w:tc>
          <w:tcPr>
            <w:tcW w:w="1274" w:type="dxa"/>
            <w:gridSpan w:val="2"/>
            <w:tcBorders>
              <w:top w:val="single" w:sz="4" w:space="0" w:color="3C3C3C"/>
              <w:left w:val="nil"/>
              <w:bottom w:val="single" w:sz="4" w:space="0" w:color="3C3C3C"/>
              <w:right w:val="nil"/>
            </w:tcBorders>
            <w:shd w:val="clear" w:color="auto" w:fill="auto"/>
            <w:noWrap/>
            <w:vAlign w:val="bottom"/>
            <w:hideMark/>
          </w:tcPr>
          <w:p w14:paraId="3D96A404"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12,630 </w:t>
            </w:r>
          </w:p>
        </w:tc>
        <w:tc>
          <w:tcPr>
            <w:tcW w:w="774" w:type="dxa"/>
            <w:gridSpan w:val="2"/>
            <w:tcBorders>
              <w:top w:val="nil"/>
              <w:left w:val="nil"/>
              <w:bottom w:val="nil"/>
              <w:right w:val="nil"/>
            </w:tcBorders>
            <w:shd w:val="clear" w:color="auto" w:fill="auto"/>
            <w:noWrap/>
            <w:vAlign w:val="bottom"/>
            <w:hideMark/>
          </w:tcPr>
          <w:p w14:paraId="571F07D1"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single" w:sz="4" w:space="0" w:color="3C3C3C"/>
              <w:left w:val="nil"/>
              <w:bottom w:val="single" w:sz="4" w:space="0" w:color="3C3C3C"/>
              <w:right w:val="nil"/>
            </w:tcBorders>
            <w:shd w:val="clear" w:color="auto" w:fill="auto"/>
            <w:noWrap/>
            <w:vAlign w:val="bottom"/>
            <w:hideMark/>
          </w:tcPr>
          <w:p w14:paraId="5C7BB903"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20,572 </w:t>
            </w:r>
          </w:p>
        </w:tc>
        <w:tc>
          <w:tcPr>
            <w:tcW w:w="222" w:type="dxa"/>
            <w:gridSpan w:val="2"/>
            <w:tcBorders>
              <w:top w:val="nil"/>
              <w:left w:val="nil"/>
              <w:bottom w:val="nil"/>
              <w:right w:val="nil"/>
            </w:tcBorders>
            <w:shd w:val="clear" w:color="auto" w:fill="auto"/>
            <w:noWrap/>
            <w:vAlign w:val="bottom"/>
            <w:hideMark/>
          </w:tcPr>
          <w:p w14:paraId="11758B00"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52401B1" w14:textId="77777777" w:rsidTr="006704BD">
        <w:trPr>
          <w:trHeight w:val="255"/>
        </w:trPr>
        <w:tc>
          <w:tcPr>
            <w:tcW w:w="4820" w:type="dxa"/>
            <w:tcBorders>
              <w:top w:val="nil"/>
              <w:left w:val="nil"/>
              <w:bottom w:val="nil"/>
              <w:right w:val="nil"/>
            </w:tcBorders>
            <w:shd w:val="clear" w:color="auto" w:fill="auto"/>
            <w:noWrap/>
            <w:vAlign w:val="bottom"/>
            <w:hideMark/>
          </w:tcPr>
          <w:p w14:paraId="01DE5384"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49369DC8"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4F4FEFA7"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48A9BD06"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32C5637A"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5986000F"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04BD16E5" w14:textId="77777777" w:rsidR="00564B95" w:rsidRPr="002B2821" w:rsidRDefault="00564B95" w:rsidP="00564B95">
            <w:pPr>
              <w:spacing w:after="0" w:line="240" w:lineRule="auto"/>
              <w:rPr>
                <w:lang w:eastAsia="en-GB"/>
              </w:rPr>
            </w:pPr>
          </w:p>
        </w:tc>
      </w:tr>
      <w:tr w:rsidR="00564B95" w:rsidRPr="002B2821" w14:paraId="584A6EBE" w14:textId="77777777" w:rsidTr="006704BD">
        <w:trPr>
          <w:trHeight w:val="255"/>
        </w:trPr>
        <w:tc>
          <w:tcPr>
            <w:tcW w:w="4820" w:type="dxa"/>
            <w:tcBorders>
              <w:top w:val="nil"/>
              <w:left w:val="nil"/>
              <w:bottom w:val="nil"/>
              <w:right w:val="nil"/>
            </w:tcBorders>
            <w:shd w:val="clear" w:color="auto" w:fill="auto"/>
            <w:noWrap/>
            <w:vAlign w:val="bottom"/>
            <w:hideMark/>
          </w:tcPr>
          <w:p w14:paraId="3161CD7A" w14:textId="15A85E5A" w:rsidR="00564B95" w:rsidRPr="002B2821" w:rsidRDefault="00564B95" w:rsidP="008A1DB8">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Reconciliation of income to net</w:t>
            </w:r>
            <w:r w:rsidR="008A1DB8" w:rsidRPr="002B2821">
              <w:rPr>
                <w:rFonts w:ascii="Calibri" w:hAnsi="Calibri" w:cs="Arial"/>
                <w:b/>
                <w:bCs/>
                <w:color w:val="000000"/>
                <w:sz w:val="24"/>
                <w:szCs w:val="24"/>
                <w:lang w:eastAsia="en-GB"/>
              </w:rPr>
              <w:t xml:space="preserve"> cash</w:t>
            </w:r>
          </w:p>
        </w:tc>
        <w:tc>
          <w:tcPr>
            <w:tcW w:w="574" w:type="dxa"/>
            <w:tcBorders>
              <w:top w:val="nil"/>
              <w:left w:val="nil"/>
              <w:bottom w:val="nil"/>
              <w:right w:val="nil"/>
            </w:tcBorders>
            <w:shd w:val="clear" w:color="auto" w:fill="auto"/>
            <w:noWrap/>
            <w:vAlign w:val="bottom"/>
            <w:hideMark/>
          </w:tcPr>
          <w:p w14:paraId="1014838F"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7E07CE4D"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0C825983"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7FB09BAD"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355138AE"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07F8365E" w14:textId="77777777" w:rsidR="00564B95" w:rsidRPr="002B2821" w:rsidRDefault="00564B95" w:rsidP="00564B95">
            <w:pPr>
              <w:spacing w:after="0" w:line="240" w:lineRule="auto"/>
              <w:rPr>
                <w:lang w:eastAsia="en-GB"/>
              </w:rPr>
            </w:pPr>
          </w:p>
        </w:tc>
      </w:tr>
      <w:tr w:rsidR="00564B95" w:rsidRPr="002B2821" w14:paraId="33FF0E37" w14:textId="77777777" w:rsidTr="006704BD">
        <w:trPr>
          <w:trHeight w:val="255"/>
        </w:trPr>
        <w:tc>
          <w:tcPr>
            <w:tcW w:w="4820" w:type="dxa"/>
            <w:tcBorders>
              <w:top w:val="nil"/>
              <w:left w:val="nil"/>
              <w:bottom w:val="nil"/>
              <w:right w:val="nil"/>
            </w:tcBorders>
            <w:shd w:val="clear" w:color="auto" w:fill="auto"/>
            <w:noWrap/>
            <w:vAlign w:val="bottom"/>
            <w:hideMark/>
          </w:tcPr>
          <w:p w14:paraId="3A874A83" w14:textId="411D97FE" w:rsidR="00564B95" w:rsidRPr="002B2821" w:rsidRDefault="00564B95" w:rsidP="0082460C">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5C5BF4">
              <w:rPr>
                <w:rFonts w:ascii="Calibri" w:hAnsi="Calibri" w:cs="Arial"/>
                <w:b/>
                <w:bCs/>
                <w:color w:val="000000"/>
                <w:sz w:val="24"/>
                <w:szCs w:val="24"/>
                <w:lang w:eastAsia="en-GB"/>
              </w:rPr>
              <w:t xml:space="preserve">used in)/provided by </w:t>
            </w:r>
            <w:r w:rsidRPr="002B2821">
              <w:rPr>
                <w:rFonts w:ascii="Calibri" w:hAnsi="Calibri" w:cs="Arial"/>
                <w:b/>
                <w:bCs/>
                <w:color w:val="000000"/>
                <w:sz w:val="24"/>
                <w:szCs w:val="24"/>
                <w:lang w:eastAsia="en-GB"/>
              </w:rPr>
              <w:t>operating activities</w:t>
            </w:r>
          </w:p>
        </w:tc>
        <w:tc>
          <w:tcPr>
            <w:tcW w:w="574" w:type="dxa"/>
            <w:tcBorders>
              <w:top w:val="nil"/>
              <w:left w:val="nil"/>
              <w:bottom w:val="nil"/>
              <w:right w:val="nil"/>
            </w:tcBorders>
            <w:shd w:val="clear" w:color="auto" w:fill="auto"/>
            <w:noWrap/>
            <w:vAlign w:val="bottom"/>
            <w:hideMark/>
          </w:tcPr>
          <w:p w14:paraId="7342551C"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52C804FD"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5E743473"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2B0D181D"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3062DF70"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5C22896D" w14:textId="77777777" w:rsidR="00564B95" w:rsidRPr="002B2821" w:rsidRDefault="00564B95" w:rsidP="00564B95">
            <w:pPr>
              <w:spacing w:after="0" w:line="240" w:lineRule="auto"/>
              <w:rPr>
                <w:lang w:eastAsia="en-GB"/>
              </w:rPr>
            </w:pPr>
          </w:p>
        </w:tc>
      </w:tr>
      <w:tr w:rsidR="00564B95" w:rsidRPr="002B2821" w14:paraId="0765C952" w14:textId="77777777" w:rsidTr="006704BD">
        <w:trPr>
          <w:trHeight w:val="255"/>
        </w:trPr>
        <w:tc>
          <w:tcPr>
            <w:tcW w:w="4820" w:type="dxa"/>
            <w:tcBorders>
              <w:top w:val="nil"/>
              <w:left w:val="nil"/>
              <w:bottom w:val="nil"/>
              <w:right w:val="nil"/>
            </w:tcBorders>
            <w:shd w:val="clear" w:color="auto" w:fill="auto"/>
            <w:noWrap/>
            <w:vAlign w:val="bottom"/>
            <w:hideMark/>
          </w:tcPr>
          <w:p w14:paraId="5AD111DF"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21A77334"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2FFB478A"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55F45512"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19706883"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08661C52"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50592824" w14:textId="77777777" w:rsidR="00564B95" w:rsidRPr="002B2821" w:rsidRDefault="00564B95" w:rsidP="00564B95">
            <w:pPr>
              <w:spacing w:after="0" w:line="240" w:lineRule="auto"/>
              <w:rPr>
                <w:lang w:eastAsia="en-GB"/>
              </w:rPr>
            </w:pPr>
          </w:p>
        </w:tc>
      </w:tr>
      <w:tr w:rsidR="00564B95" w:rsidRPr="002B2821" w14:paraId="5821A139" w14:textId="77777777" w:rsidTr="006704BD">
        <w:trPr>
          <w:trHeight w:val="255"/>
        </w:trPr>
        <w:tc>
          <w:tcPr>
            <w:tcW w:w="5394" w:type="dxa"/>
            <w:gridSpan w:val="2"/>
            <w:tcBorders>
              <w:top w:val="nil"/>
              <w:left w:val="nil"/>
              <w:bottom w:val="nil"/>
              <w:right w:val="nil"/>
            </w:tcBorders>
            <w:shd w:val="clear" w:color="auto" w:fill="auto"/>
            <w:noWrap/>
            <w:vAlign w:val="bottom"/>
            <w:hideMark/>
          </w:tcPr>
          <w:p w14:paraId="66E8F2E7" w14:textId="67AAC2DB" w:rsidR="00564B95" w:rsidRPr="002B2821" w:rsidRDefault="00564B95" w:rsidP="008A1DB8">
            <w:pPr>
              <w:spacing w:after="0" w:line="240" w:lineRule="auto"/>
              <w:rPr>
                <w:rFonts w:ascii="Calibri" w:hAnsi="Calibri" w:cs="Arial"/>
                <w:b/>
                <w:bCs/>
                <w:i/>
                <w:iCs/>
                <w:color w:val="000000"/>
                <w:sz w:val="24"/>
                <w:szCs w:val="24"/>
                <w:lang w:eastAsia="en-GB"/>
              </w:rPr>
            </w:pPr>
            <w:r w:rsidRPr="002B2821">
              <w:rPr>
                <w:rFonts w:ascii="Calibri" w:hAnsi="Calibri" w:cs="Arial"/>
                <w:b/>
                <w:bCs/>
                <w:i/>
                <w:iCs/>
                <w:color w:val="000000"/>
                <w:sz w:val="24"/>
                <w:szCs w:val="24"/>
                <w:lang w:eastAsia="en-GB"/>
              </w:rPr>
              <w:t>Net income for the reporting period</w:t>
            </w:r>
          </w:p>
        </w:tc>
        <w:tc>
          <w:tcPr>
            <w:tcW w:w="236" w:type="dxa"/>
            <w:gridSpan w:val="2"/>
            <w:tcBorders>
              <w:top w:val="nil"/>
              <w:left w:val="nil"/>
              <w:bottom w:val="nil"/>
              <w:right w:val="nil"/>
            </w:tcBorders>
            <w:shd w:val="clear" w:color="auto" w:fill="auto"/>
            <w:noWrap/>
            <w:vAlign w:val="bottom"/>
            <w:hideMark/>
          </w:tcPr>
          <w:p w14:paraId="11BB76E4" w14:textId="77777777" w:rsidR="00564B95" w:rsidRPr="002B2821" w:rsidRDefault="00564B95" w:rsidP="00564B95">
            <w:pPr>
              <w:spacing w:after="0" w:line="240" w:lineRule="auto"/>
              <w:rPr>
                <w:rFonts w:ascii="Calibri" w:hAnsi="Calibri" w:cs="Arial"/>
                <w:b/>
                <w:bCs/>
                <w:i/>
                <w:iCs/>
                <w:color w:val="000000"/>
                <w:sz w:val="24"/>
                <w:szCs w:val="24"/>
                <w:lang w:eastAsia="en-GB"/>
              </w:rPr>
            </w:pPr>
          </w:p>
        </w:tc>
        <w:tc>
          <w:tcPr>
            <w:tcW w:w="1274" w:type="dxa"/>
            <w:gridSpan w:val="2"/>
            <w:tcBorders>
              <w:top w:val="nil"/>
              <w:left w:val="nil"/>
              <w:bottom w:val="nil"/>
              <w:right w:val="nil"/>
            </w:tcBorders>
            <w:shd w:val="clear" w:color="auto" w:fill="auto"/>
            <w:noWrap/>
            <w:vAlign w:val="bottom"/>
            <w:hideMark/>
          </w:tcPr>
          <w:p w14:paraId="5FCCBCAD"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4C6F2D5C"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02C0D91"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15116A24" w14:textId="77777777" w:rsidR="00564B95" w:rsidRPr="002B2821" w:rsidRDefault="00564B95" w:rsidP="00564B95">
            <w:pPr>
              <w:spacing w:after="0" w:line="240" w:lineRule="auto"/>
              <w:rPr>
                <w:lang w:eastAsia="en-GB"/>
              </w:rPr>
            </w:pPr>
          </w:p>
        </w:tc>
      </w:tr>
      <w:tr w:rsidR="00564B95" w:rsidRPr="002B2821" w14:paraId="500E16BE" w14:textId="77777777" w:rsidTr="006704BD">
        <w:trPr>
          <w:trHeight w:val="255"/>
        </w:trPr>
        <w:tc>
          <w:tcPr>
            <w:tcW w:w="4820" w:type="dxa"/>
            <w:tcBorders>
              <w:top w:val="nil"/>
              <w:left w:val="nil"/>
              <w:bottom w:val="nil"/>
              <w:right w:val="nil"/>
            </w:tcBorders>
            <w:shd w:val="clear" w:color="auto" w:fill="auto"/>
            <w:noWrap/>
            <w:vAlign w:val="bottom"/>
            <w:hideMark/>
          </w:tcPr>
          <w:p w14:paraId="1D32DFC0" w14:textId="1D0247B8" w:rsidR="00564B95" w:rsidRPr="002B2821" w:rsidRDefault="00564B95" w:rsidP="008A1DB8">
            <w:pPr>
              <w:spacing w:after="0" w:line="240" w:lineRule="auto"/>
              <w:rPr>
                <w:rFonts w:ascii="Calibri" w:hAnsi="Calibri" w:cs="Arial"/>
                <w:b/>
                <w:bCs/>
                <w:i/>
                <w:iCs/>
                <w:color w:val="000000"/>
                <w:sz w:val="24"/>
                <w:szCs w:val="24"/>
                <w:lang w:eastAsia="en-GB"/>
              </w:rPr>
            </w:pPr>
            <w:r w:rsidRPr="002B2821">
              <w:rPr>
                <w:rFonts w:ascii="Calibri" w:hAnsi="Calibri" w:cs="Arial"/>
                <w:b/>
                <w:bCs/>
                <w:i/>
                <w:iCs/>
                <w:color w:val="000000"/>
                <w:sz w:val="24"/>
                <w:szCs w:val="24"/>
                <w:lang w:eastAsia="en-GB"/>
              </w:rPr>
              <w:t>as per the statement of financial activities</w:t>
            </w:r>
          </w:p>
        </w:tc>
        <w:tc>
          <w:tcPr>
            <w:tcW w:w="574" w:type="dxa"/>
            <w:tcBorders>
              <w:top w:val="nil"/>
              <w:left w:val="nil"/>
              <w:bottom w:val="nil"/>
              <w:right w:val="nil"/>
            </w:tcBorders>
            <w:shd w:val="clear" w:color="auto" w:fill="auto"/>
            <w:noWrap/>
            <w:vAlign w:val="bottom"/>
            <w:hideMark/>
          </w:tcPr>
          <w:p w14:paraId="43BE8CA3" w14:textId="77777777" w:rsidR="00564B95" w:rsidRPr="002B2821" w:rsidRDefault="00564B95" w:rsidP="00564B95">
            <w:pPr>
              <w:spacing w:after="0" w:line="240" w:lineRule="auto"/>
              <w:rPr>
                <w:rFonts w:ascii="Calibri" w:hAnsi="Calibri" w:cs="Arial"/>
                <w:b/>
                <w:bCs/>
                <w:i/>
                <w:i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0026126D"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4F9D7E78"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5,090 </w:t>
            </w:r>
          </w:p>
        </w:tc>
        <w:tc>
          <w:tcPr>
            <w:tcW w:w="774" w:type="dxa"/>
            <w:gridSpan w:val="2"/>
            <w:tcBorders>
              <w:top w:val="nil"/>
              <w:left w:val="nil"/>
              <w:bottom w:val="nil"/>
              <w:right w:val="nil"/>
            </w:tcBorders>
            <w:shd w:val="clear" w:color="auto" w:fill="auto"/>
            <w:noWrap/>
            <w:vAlign w:val="bottom"/>
            <w:hideMark/>
          </w:tcPr>
          <w:p w14:paraId="68099523"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52AB5C3F"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9,142 </w:t>
            </w:r>
          </w:p>
        </w:tc>
        <w:tc>
          <w:tcPr>
            <w:tcW w:w="222" w:type="dxa"/>
            <w:gridSpan w:val="2"/>
            <w:tcBorders>
              <w:top w:val="nil"/>
              <w:left w:val="nil"/>
              <w:bottom w:val="nil"/>
              <w:right w:val="nil"/>
            </w:tcBorders>
            <w:shd w:val="clear" w:color="auto" w:fill="auto"/>
            <w:noWrap/>
            <w:vAlign w:val="bottom"/>
            <w:hideMark/>
          </w:tcPr>
          <w:p w14:paraId="12FEB262"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0ADA9EC" w14:textId="77777777" w:rsidTr="006704BD">
        <w:trPr>
          <w:trHeight w:val="255"/>
        </w:trPr>
        <w:tc>
          <w:tcPr>
            <w:tcW w:w="4820" w:type="dxa"/>
            <w:tcBorders>
              <w:top w:val="nil"/>
              <w:left w:val="nil"/>
              <w:bottom w:val="nil"/>
              <w:right w:val="nil"/>
            </w:tcBorders>
            <w:shd w:val="clear" w:color="auto" w:fill="auto"/>
            <w:noWrap/>
            <w:vAlign w:val="bottom"/>
            <w:hideMark/>
          </w:tcPr>
          <w:p w14:paraId="478B5941" w14:textId="77777777" w:rsidR="00564B95" w:rsidRPr="002B2821" w:rsidRDefault="00564B95" w:rsidP="00564B95">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Adjustments for:</w:t>
            </w:r>
          </w:p>
        </w:tc>
        <w:tc>
          <w:tcPr>
            <w:tcW w:w="574" w:type="dxa"/>
            <w:tcBorders>
              <w:top w:val="nil"/>
              <w:left w:val="nil"/>
              <w:bottom w:val="nil"/>
              <w:right w:val="nil"/>
            </w:tcBorders>
            <w:shd w:val="clear" w:color="auto" w:fill="auto"/>
            <w:noWrap/>
            <w:vAlign w:val="bottom"/>
            <w:hideMark/>
          </w:tcPr>
          <w:p w14:paraId="47EBF179" w14:textId="77777777" w:rsidR="00564B95" w:rsidRPr="002B2821" w:rsidRDefault="00564B95" w:rsidP="00564B95">
            <w:pPr>
              <w:spacing w:after="0" w:line="240" w:lineRule="auto"/>
              <w:rPr>
                <w:rFonts w:ascii="Calibri" w:hAnsi="Calibri" w:cs="Arial"/>
                <w:b/>
                <w:bCs/>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419B8726"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069C8EA1"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3F187774"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28AB6320"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52068F20" w14:textId="77777777" w:rsidR="00564B95" w:rsidRPr="002B2821" w:rsidRDefault="00564B95" w:rsidP="00564B95">
            <w:pPr>
              <w:spacing w:after="0" w:line="240" w:lineRule="auto"/>
              <w:rPr>
                <w:lang w:eastAsia="en-GB"/>
              </w:rPr>
            </w:pPr>
          </w:p>
        </w:tc>
      </w:tr>
      <w:tr w:rsidR="00564B95" w:rsidRPr="002B2821" w14:paraId="40E8ED9D" w14:textId="77777777" w:rsidTr="006704BD">
        <w:trPr>
          <w:trHeight w:val="255"/>
        </w:trPr>
        <w:tc>
          <w:tcPr>
            <w:tcW w:w="4820" w:type="dxa"/>
            <w:tcBorders>
              <w:top w:val="nil"/>
              <w:left w:val="nil"/>
              <w:bottom w:val="nil"/>
              <w:right w:val="nil"/>
            </w:tcBorders>
            <w:shd w:val="clear" w:color="auto" w:fill="auto"/>
            <w:noWrap/>
            <w:vAlign w:val="bottom"/>
            <w:hideMark/>
          </w:tcPr>
          <w:p w14:paraId="015CA0C6" w14:textId="20B7672B"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Depreciation &amp; </w:t>
            </w:r>
            <w:r w:rsidR="005C5BF4">
              <w:rPr>
                <w:rFonts w:ascii="Calibri" w:hAnsi="Calibri" w:cs="Arial"/>
                <w:color w:val="000000"/>
                <w:sz w:val="24"/>
                <w:szCs w:val="24"/>
                <w:lang w:eastAsia="en-GB"/>
              </w:rPr>
              <w:t>loss/(</w:t>
            </w:r>
            <w:r w:rsidRPr="002B2821">
              <w:rPr>
                <w:rFonts w:ascii="Calibri" w:hAnsi="Calibri" w:cs="Arial"/>
                <w:color w:val="000000"/>
                <w:sz w:val="24"/>
                <w:szCs w:val="24"/>
                <w:lang w:eastAsia="en-GB"/>
              </w:rPr>
              <w:t>profit</w:t>
            </w:r>
            <w:r w:rsidR="005C5BF4">
              <w:rPr>
                <w:rFonts w:ascii="Calibri" w:hAnsi="Calibri" w:cs="Arial"/>
                <w:color w:val="000000"/>
                <w:sz w:val="24"/>
                <w:szCs w:val="24"/>
                <w:lang w:eastAsia="en-GB"/>
              </w:rPr>
              <w:t>)</w:t>
            </w:r>
            <w:r w:rsidRPr="002B2821">
              <w:rPr>
                <w:rFonts w:ascii="Calibri" w:hAnsi="Calibri" w:cs="Arial"/>
                <w:color w:val="000000"/>
                <w:sz w:val="24"/>
                <w:szCs w:val="24"/>
                <w:lang w:eastAsia="en-GB"/>
              </w:rPr>
              <w:t xml:space="preserve"> on disposals</w:t>
            </w:r>
          </w:p>
        </w:tc>
        <w:tc>
          <w:tcPr>
            <w:tcW w:w="574" w:type="dxa"/>
            <w:tcBorders>
              <w:top w:val="nil"/>
              <w:left w:val="nil"/>
              <w:bottom w:val="nil"/>
              <w:right w:val="nil"/>
            </w:tcBorders>
            <w:shd w:val="clear" w:color="auto" w:fill="auto"/>
            <w:noWrap/>
            <w:vAlign w:val="bottom"/>
            <w:hideMark/>
          </w:tcPr>
          <w:p w14:paraId="59907DD5"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17382D2C"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6129B94A"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26 </w:t>
            </w:r>
          </w:p>
        </w:tc>
        <w:tc>
          <w:tcPr>
            <w:tcW w:w="774" w:type="dxa"/>
            <w:gridSpan w:val="2"/>
            <w:tcBorders>
              <w:top w:val="nil"/>
              <w:left w:val="nil"/>
              <w:bottom w:val="nil"/>
              <w:right w:val="nil"/>
            </w:tcBorders>
            <w:shd w:val="clear" w:color="auto" w:fill="auto"/>
            <w:noWrap/>
            <w:vAlign w:val="bottom"/>
            <w:hideMark/>
          </w:tcPr>
          <w:p w14:paraId="18B63097"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2072C921"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23 </w:t>
            </w:r>
          </w:p>
        </w:tc>
        <w:tc>
          <w:tcPr>
            <w:tcW w:w="222" w:type="dxa"/>
            <w:gridSpan w:val="2"/>
            <w:tcBorders>
              <w:top w:val="nil"/>
              <w:left w:val="nil"/>
              <w:bottom w:val="nil"/>
              <w:right w:val="nil"/>
            </w:tcBorders>
            <w:shd w:val="clear" w:color="auto" w:fill="auto"/>
            <w:noWrap/>
            <w:vAlign w:val="bottom"/>
            <w:hideMark/>
          </w:tcPr>
          <w:p w14:paraId="6E9ABA45"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09706E05" w14:textId="77777777" w:rsidTr="006704BD">
        <w:trPr>
          <w:trHeight w:val="255"/>
        </w:trPr>
        <w:tc>
          <w:tcPr>
            <w:tcW w:w="4820" w:type="dxa"/>
            <w:tcBorders>
              <w:top w:val="nil"/>
              <w:left w:val="nil"/>
              <w:bottom w:val="nil"/>
              <w:right w:val="nil"/>
            </w:tcBorders>
            <w:shd w:val="clear" w:color="auto" w:fill="auto"/>
            <w:noWrap/>
            <w:vAlign w:val="bottom"/>
            <w:hideMark/>
          </w:tcPr>
          <w:p w14:paraId="42F08650" w14:textId="2A6D98F4" w:rsidR="00564B95" w:rsidRPr="002B2821" w:rsidRDefault="00564B95" w:rsidP="006704BD">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Gains on investments</w:t>
            </w:r>
          </w:p>
        </w:tc>
        <w:tc>
          <w:tcPr>
            <w:tcW w:w="574" w:type="dxa"/>
            <w:tcBorders>
              <w:top w:val="nil"/>
              <w:left w:val="nil"/>
              <w:bottom w:val="nil"/>
              <w:right w:val="nil"/>
            </w:tcBorders>
            <w:shd w:val="clear" w:color="auto" w:fill="auto"/>
            <w:noWrap/>
            <w:vAlign w:val="bottom"/>
            <w:hideMark/>
          </w:tcPr>
          <w:p w14:paraId="205D8295"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3E674799"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1B329EA3"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(9,811)</w:t>
            </w:r>
          </w:p>
        </w:tc>
        <w:tc>
          <w:tcPr>
            <w:tcW w:w="774" w:type="dxa"/>
            <w:gridSpan w:val="2"/>
            <w:tcBorders>
              <w:top w:val="nil"/>
              <w:left w:val="nil"/>
              <w:bottom w:val="nil"/>
              <w:right w:val="nil"/>
            </w:tcBorders>
            <w:shd w:val="clear" w:color="auto" w:fill="auto"/>
            <w:noWrap/>
            <w:vAlign w:val="bottom"/>
            <w:hideMark/>
          </w:tcPr>
          <w:p w14:paraId="7FFC95D3"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180CABDA"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(13,933)</w:t>
            </w:r>
          </w:p>
        </w:tc>
        <w:tc>
          <w:tcPr>
            <w:tcW w:w="222" w:type="dxa"/>
            <w:gridSpan w:val="2"/>
            <w:tcBorders>
              <w:top w:val="nil"/>
              <w:left w:val="nil"/>
              <w:bottom w:val="nil"/>
              <w:right w:val="nil"/>
            </w:tcBorders>
            <w:shd w:val="clear" w:color="auto" w:fill="auto"/>
            <w:noWrap/>
            <w:vAlign w:val="bottom"/>
            <w:hideMark/>
          </w:tcPr>
          <w:p w14:paraId="392988C3"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7267EF55" w14:textId="77777777" w:rsidTr="006704BD">
        <w:trPr>
          <w:trHeight w:val="255"/>
        </w:trPr>
        <w:tc>
          <w:tcPr>
            <w:tcW w:w="4820" w:type="dxa"/>
            <w:tcBorders>
              <w:top w:val="nil"/>
              <w:left w:val="nil"/>
              <w:bottom w:val="nil"/>
              <w:right w:val="nil"/>
            </w:tcBorders>
            <w:shd w:val="clear" w:color="auto" w:fill="auto"/>
            <w:noWrap/>
            <w:vAlign w:val="bottom"/>
            <w:hideMark/>
          </w:tcPr>
          <w:p w14:paraId="39396CBD"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Dividends, interest and rents from investments</w:t>
            </w:r>
          </w:p>
        </w:tc>
        <w:tc>
          <w:tcPr>
            <w:tcW w:w="574" w:type="dxa"/>
            <w:tcBorders>
              <w:top w:val="nil"/>
              <w:left w:val="nil"/>
              <w:bottom w:val="nil"/>
              <w:right w:val="nil"/>
            </w:tcBorders>
            <w:shd w:val="clear" w:color="auto" w:fill="auto"/>
            <w:noWrap/>
            <w:vAlign w:val="bottom"/>
            <w:hideMark/>
          </w:tcPr>
          <w:p w14:paraId="6B0D6DF7"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7D409EBA"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33164B78"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(4,504)</w:t>
            </w:r>
          </w:p>
        </w:tc>
        <w:tc>
          <w:tcPr>
            <w:tcW w:w="774" w:type="dxa"/>
            <w:gridSpan w:val="2"/>
            <w:tcBorders>
              <w:top w:val="nil"/>
              <w:left w:val="nil"/>
              <w:bottom w:val="nil"/>
              <w:right w:val="nil"/>
            </w:tcBorders>
            <w:shd w:val="clear" w:color="auto" w:fill="auto"/>
            <w:noWrap/>
            <w:vAlign w:val="bottom"/>
            <w:hideMark/>
          </w:tcPr>
          <w:p w14:paraId="795A04D8"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0D78D2E6"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(3,631)</w:t>
            </w:r>
          </w:p>
        </w:tc>
        <w:tc>
          <w:tcPr>
            <w:tcW w:w="222" w:type="dxa"/>
            <w:gridSpan w:val="2"/>
            <w:tcBorders>
              <w:top w:val="nil"/>
              <w:left w:val="nil"/>
              <w:bottom w:val="nil"/>
              <w:right w:val="nil"/>
            </w:tcBorders>
            <w:shd w:val="clear" w:color="auto" w:fill="auto"/>
            <w:noWrap/>
            <w:vAlign w:val="bottom"/>
            <w:hideMark/>
          </w:tcPr>
          <w:p w14:paraId="6F3F81EA"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137CB04" w14:textId="77777777" w:rsidTr="006704BD">
        <w:trPr>
          <w:gridAfter w:val="1"/>
          <w:wAfter w:w="14" w:type="dxa"/>
          <w:trHeight w:val="312"/>
        </w:trPr>
        <w:tc>
          <w:tcPr>
            <w:tcW w:w="5616" w:type="dxa"/>
            <w:gridSpan w:val="3"/>
            <w:tcBorders>
              <w:top w:val="nil"/>
              <w:left w:val="nil"/>
              <w:bottom w:val="nil"/>
              <w:right w:val="nil"/>
            </w:tcBorders>
            <w:shd w:val="clear" w:color="auto" w:fill="auto"/>
            <w:noWrap/>
            <w:vAlign w:val="bottom"/>
            <w:hideMark/>
          </w:tcPr>
          <w:p w14:paraId="18557D80" w14:textId="175C15A7" w:rsidR="00564B95" w:rsidRPr="002B2821" w:rsidRDefault="008A1DB8" w:rsidP="008A1DB8">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(Decrease)/in</w:t>
            </w:r>
            <w:r w:rsidR="00564B95" w:rsidRPr="002B2821">
              <w:rPr>
                <w:rFonts w:ascii="Calibri" w:hAnsi="Calibri" w:cs="Arial"/>
                <w:color w:val="000000"/>
                <w:sz w:val="24"/>
                <w:szCs w:val="24"/>
                <w:lang w:eastAsia="en-GB"/>
              </w:rPr>
              <w:t>crease in creditors due within one year</w:t>
            </w:r>
          </w:p>
        </w:tc>
        <w:tc>
          <w:tcPr>
            <w:tcW w:w="1274" w:type="dxa"/>
            <w:gridSpan w:val="2"/>
            <w:tcBorders>
              <w:top w:val="nil"/>
              <w:left w:val="nil"/>
              <w:bottom w:val="nil"/>
              <w:right w:val="nil"/>
            </w:tcBorders>
            <w:shd w:val="clear" w:color="auto" w:fill="auto"/>
            <w:noWrap/>
            <w:vAlign w:val="bottom"/>
            <w:hideMark/>
          </w:tcPr>
          <w:p w14:paraId="22BC6773"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(286)</w:t>
            </w:r>
          </w:p>
        </w:tc>
        <w:tc>
          <w:tcPr>
            <w:tcW w:w="774" w:type="dxa"/>
            <w:gridSpan w:val="2"/>
            <w:tcBorders>
              <w:top w:val="nil"/>
              <w:left w:val="nil"/>
              <w:bottom w:val="nil"/>
              <w:right w:val="nil"/>
            </w:tcBorders>
            <w:shd w:val="clear" w:color="auto" w:fill="auto"/>
            <w:noWrap/>
            <w:vAlign w:val="bottom"/>
            <w:hideMark/>
          </w:tcPr>
          <w:p w14:paraId="30D97959"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22112B9E"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5,612 </w:t>
            </w:r>
          </w:p>
        </w:tc>
        <w:tc>
          <w:tcPr>
            <w:tcW w:w="222" w:type="dxa"/>
            <w:gridSpan w:val="2"/>
            <w:tcBorders>
              <w:top w:val="nil"/>
              <w:left w:val="nil"/>
              <w:bottom w:val="nil"/>
              <w:right w:val="nil"/>
            </w:tcBorders>
            <w:shd w:val="clear" w:color="auto" w:fill="auto"/>
            <w:noWrap/>
            <w:vAlign w:val="bottom"/>
            <w:hideMark/>
          </w:tcPr>
          <w:p w14:paraId="07C30F8A"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03830EBE" w14:textId="77777777" w:rsidTr="006704BD">
        <w:trPr>
          <w:trHeight w:val="255"/>
        </w:trPr>
        <w:tc>
          <w:tcPr>
            <w:tcW w:w="4820" w:type="dxa"/>
            <w:tcBorders>
              <w:top w:val="nil"/>
              <w:left w:val="nil"/>
              <w:bottom w:val="nil"/>
              <w:right w:val="nil"/>
            </w:tcBorders>
            <w:shd w:val="clear" w:color="auto" w:fill="auto"/>
            <w:noWrap/>
            <w:vAlign w:val="bottom"/>
            <w:hideMark/>
          </w:tcPr>
          <w:p w14:paraId="4D543469" w14:textId="77777777" w:rsidR="00564B95" w:rsidRPr="002B2821" w:rsidRDefault="00564B95" w:rsidP="00564B95">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(Increase)/decrease in debtors</w:t>
            </w:r>
          </w:p>
        </w:tc>
        <w:tc>
          <w:tcPr>
            <w:tcW w:w="574" w:type="dxa"/>
            <w:tcBorders>
              <w:top w:val="nil"/>
              <w:left w:val="nil"/>
              <w:bottom w:val="nil"/>
              <w:right w:val="nil"/>
            </w:tcBorders>
            <w:shd w:val="clear" w:color="auto" w:fill="auto"/>
            <w:noWrap/>
            <w:vAlign w:val="bottom"/>
            <w:hideMark/>
          </w:tcPr>
          <w:p w14:paraId="326B87FF" w14:textId="77777777" w:rsidR="00564B95" w:rsidRPr="002B2821" w:rsidRDefault="00564B95" w:rsidP="00564B95">
            <w:pPr>
              <w:spacing w:after="0" w:line="240" w:lineRule="auto"/>
              <w:rPr>
                <w:rFonts w:ascii="Calibri" w:hAnsi="Calibri" w:cs="Arial"/>
                <w:color w:val="000000"/>
                <w:sz w:val="24"/>
                <w:szCs w:val="24"/>
                <w:lang w:eastAsia="en-GB"/>
              </w:rPr>
            </w:pPr>
          </w:p>
        </w:tc>
        <w:tc>
          <w:tcPr>
            <w:tcW w:w="236" w:type="dxa"/>
            <w:gridSpan w:val="2"/>
            <w:tcBorders>
              <w:top w:val="nil"/>
              <w:left w:val="nil"/>
              <w:bottom w:val="nil"/>
              <w:right w:val="nil"/>
            </w:tcBorders>
            <w:shd w:val="clear" w:color="auto" w:fill="auto"/>
            <w:noWrap/>
            <w:vAlign w:val="bottom"/>
            <w:hideMark/>
          </w:tcPr>
          <w:p w14:paraId="624D1208"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41B9B94A"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(159)</w:t>
            </w:r>
          </w:p>
        </w:tc>
        <w:tc>
          <w:tcPr>
            <w:tcW w:w="774" w:type="dxa"/>
            <w:gridSpan w:val="2"/>
            <w:tcBorders>
              <w:top w:val="nil"/>
              <w:left w:val="nil"/>
              <w:bottom w:val="nil"/>
              <w:right w:val="nil"/>
            </w:tcBorders>
            <w:shd w:val="clear" w:color="auto" w:fill="auto"/>
            <w:noWrap/>
            <w:vAlign w:val="bottom"/>
            <w:hideMark/>
          </w:tcPr>
          <w:p w14:paraId="0D061371"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nil"/>
              <w:left w:val="nil"/>
              <w:bottom w:val="nil"/>
              <w:right w:val="nil"/>
            </w:tcBorders>
            <w:shd w:val="clear" w:color="auto" w:fill="auto"/>
            <w:noWrap/>
            <w:vAlign w:val="bottom"/>
            <w:hideMark/>
          </w:tcPr>
          <w:p w14:paraId="3D249B6F"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3,278 </w:t>
            </w:r>
          </w:p>
        </w:tc>
        <w:tc>
          <w:tcPr>
            <w:tcW w:w="222" w:type="dxa"/>
            <w:gridSpan w:val="2"/>
            <w:tcBorders>
              <w:top w:val="nil"/>
              <w:left w:val="nil"/>
              <w:bottom w:val="nil"/>
              <w:right w:val="nil"/>
            </w:tcBorders>
            <w:shd w:val="clear" w:color="auto" w:fill="auto"/>
            <w:noWrap/>
            <w:vAlign w:val="bottom"/>
            <w:hideMark/>
          </w:tcPr>
          <w:p w14:paraId="406BD2CE"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142F0AC" w14:textId="77777777" w:rsidTr="006704BD">
        <w:trPr>
          <w:trHeight w:val="255"/>
        </w:trPr>
        <w:tc>
          <w:tcPr>
            <w:tcW w:w="4820" w:type="dxa"/>
            <w:tcBorders>
              <w:top w:val="nil"/>
              <w:left w:val="nil"/>
              <w:bottom w:val="nil"/>
              <w:right w:val="nil"/>
            </w:tcBorders>
            <w:shd w:val="clear" w:color="auto" w:fill="auto"/>
            <w:noWrap/>
            <w:vAlign w:val="bottom"/>
            <w:hideMark/>
          </w:tcPr>
          <w:p w14:paraId="55D943B2"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0B06F81B"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2568E1A0"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43A48B58"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1A828F1B"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1DB8B403"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51DE8937" w14:textId="77777777" w:rsidR="00564B95" w:rsidRPr="002B2821" w:rsidRDefault="00564B95" w:rsidP="00564B95">
            <w:pPr>
              <w:spacing w:after="0" w:line="240" w:lineRule="auto"/>
              <w:rPr>
                <w:lang w:eastAsia="en-GB"/>
              </w:rPr>
            </w:pPr>
          </w:p>
        </w:tc>
      </w:tr>
      <w:tr w:rsidR="00564B95" w:rsidRPr="002B2821" w14:paraId="34CDF920" w14:textId="77777777" w:rsidTr="006704BD">
        <w:trPr>
          <w:trHeight w:val="255"/>
        </w:trPr>
        <w:tc>
          <w:tcPr>
            <w:tcW w:w="5394" w:type="dxa"/>
            <w:gridSpan w:val="2"/>
            <w:tcBorders>
              <w:top w:val="nil"/>
              <w:left w:val="nil"/>
              <w:bottom w:val="nil"/>
              <w:right w:val="nil"/>
            </w:tcBorders>
            <w:shd w:val="clear" w:color="auto" w:fill="auto"/>
            <w:noWrap/>
            <w:vAlign w:val="bottom"/>
            <w:hideMark/>
          </w:tcPr>
          <w:p w14:paraId="6017F3B0" w14:textId="499196CA" w:rsidR="00564B95" w:rsidRPr="002B2821" w:rsidRDefault="00564B95" w:rsidP="008A1DB8">
            <w:pPr>
              <w:spacing w:after="0" w:line="240" w:lineRule="auto"/>
              <w:rPr>
                <w:rFonts w:ascii="Calibri" w:hAnsi="Calibri" w:cs="Arial"/>
                <w:b/>
                <w:bCs/>
                <w:i/>
                <w:iCs/>
                <w:color w:val="000000"/>
                <w:sz w:val="24"/>
                <w:szCs w:val="24"/>
                <w:lang w:eastAsia="en-GB"/>
              </w:rPr>
            </w:pPr>
            <w:r w:rsidRPr="002B2821">
              <w:rPr>
                <w:rFonts w:ascii="Calibri" w:hAnsi="Calibri" w:cs="Arial"/>
                <w:b/>
                <w:bCs/>
                <w:i/>
                <w:iCs/>
                <w:color w:val="000000"/>
                <w:sz w:val="24"/>
                <w:szCs w:val="24"/>
                <w:lang w:eastAsia="en-GB"/>
              </w:rPr>
              <w:t xml:space="preserve">Net cash </w:t>
            </w:r>
            <w:r w:rsidR="008A1DB8" w:rsidRPr="002B2821">
              <w:rPr>
                <w:rFonts w:ascii="Calibri" w:hAnsi="Calibri" w:cs="Arial"/>
                <w:b/>
                <w:bCs/>
                <w:i/>
                <w:iCs/>
                <w:color w:val="000000"/>
                <w:sz w:val="24"/>
                <w:szCs w:val="24"/>
                <w:lang w:eastAsia="en-GB"/>
              </w:rPr>
              <w:t>(used in)</w:t>
            </w:r>
            <w:r w:rsidR="005C5BF4">
              <w:rPr>
                <w:rFonts w:ascii="Calibri" w:hAnsi="Calibri" w:cs="Arial"/>
                <w:b/>
                <w:bCs/>
                <w:i/>
                <w:iCs/>
                <w:color w:val="000000"/>
                <w:sz w:val="24"/>
                <w:szCs w:val="24"/>
                <w:lang w:eastAsia="en-GB"/>
              </w:rPr>
              <w:t>/</w:t>
            </w:r>
            <w:r w:rsidRPr="002B2821">
              <w:rPr>
                <w:rFonts w:ascii="Calibri" w:hAnsi="Calibri" w:cs="Arial"/>
                <w:b/>
                <w:bCs/>
                <w:i/>
                <w:iCs/>
                <w:color w:val="000000"/>
                <w:sz w:val="24"/>
                <w:szCs w:val="24"/>
                <w:lang w:eastAsia="en-GB"/>
              </w:rPr>
              <w:t>provided by operating activities</w:t>
            </w:r>
          </w:p>
        </w:tc>
        <w:tc>
          <w:tcPr>
            <w:tcW w:w="236" w:type="dxa"/>
            <w:gridSpan w:val="2"/>
            <w:tcBorders>
              <w:top w:val="nil"/>
              <w:left w:val="nil"/>
              <w:bottom w:val="nil"/>
              <w:right w:val="nil"/>
            </w:tcBorders>
            <w:shd w:val="clear" w:color="auto" w:fill="auto"/>
            <w:noWrap/>
            <w:vAlign w:val="bottom"/>
            <w:hideMark/>
          </w:tcPr>
          <w:p w14:paraId="11EC94C9" w14:textId="77777777" w:rsidR="00564B95" w:rsidRPr="002B2821" w:rsidRDefault="00564B95" w:rsidP="00564B95">
            <w:pPr>
              <w:spacing w:after="0" w:line="240" w:lineRule="auto"/>
              <w:rPr>
                <w:rFonts w:ascii="Calibri" w:hAnsi="Calibri" w:cs="Arial"/>
                <w:b/>
                <w:bCs/>
                <w:i/>
                <w:iCs/>
                <w:color w:val="000000"/>
                <w:sz w:val="24"/>
                <w:szCs w:val="24"/>
                <w:lang w:eastAsia="en-GB"/>
              </w:rPr>
            </w:pPr>
          </w:p>
        </w:tc>
        <w:tc>
          <w:tcPr>
            <w:tcW w:w="1274" w:type="dxa"/>
            <w:gridSpan w:val="2"/>
            <w:tcBorders>
              <w:top w:val="single" w:sz="4" w:space="0" w:color="000000"/>
              <w:left w:val="nil"/>
              <w:bottom w:val="single" w:sz="4" w:space="0" w:color="000000"/>
              <w:right w:val="nil"/>
            </w:tcBorders>
            <w:shd w:val="clear" w:color="auto" w:fill="auto"/>
            <w:noWrap/>
            <w:vAlign w:val="bottom"/>
            <w:hideMark/>
          </w:tcPr>
          <w:p w14:paraId="3C14A16F" w14:textId="77777777" w:rsidR="00564B95" w:rsidRPr="002B2821" w:rsidRDefault="00564B95" w:rsidP="00564B95">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(9,644)</w:t>
            </w:r>
          </w:p>
        </w:tc>
        <w:tc>
          <w:tcPr>
            <w:tcW w:w="774" w:type="dxa"/>
            <w:gridSpan w:val="2"/>
            <w:tcBorders>
              <w:top w:val="nil"/>
              <w:left w:val="nil"/>
              <w:bottom w:val="nil"/>
              <w:right w:val="nil"/>
            </w:tcBorders>
            <w:shd w:val="clear" w:color="auto" w:fill="auto"/>
            <w:noWrap/>
            <w:vAlign w:val="bottom"/>
            <w:hideMark/>
          </w:tcPr>
          <w:p w14:paraId="7E8204EC" w14:textId="77777777" w:rsidR="00564B95" w:rsidRPr="002B2821" w:rsidRDefault="00564B95" w:rsidP="00564B95">
            <w:pPr>
              <w:spacing w:after="0" w:line="240" w:lineRule="auto"/>
              <w:jc w:val="right"/>
              <w:rPr>
                <w:rFonts w:ascii="Calibri" w:hAnsi="Calibri" w:cs="Arial"/>
                <w:b/>
                <w:bCs/>
                <w:color w:val="000000"/>
                <w:sz w:val="24"/>
                <w:szCs w:val="24"/>
                <w:lang w:eastAsia="en-GB"/>
              </w:rPr>
            </w:pPr>
          </w:p>
        </w:tc>
        <w:tc>
          <w:tcPr>
            <w:tcW w:w="1062" w:type="dxa"/>
            <w:gridSpan w:val="2"/>
            <w:tcBorders>
              <w:top w:val="single" w:sz="4" w:space="0" w:color="000000"/>
              <w:left w:val="nil"/>
              <w:bottom w:val="single" w:sz="4" w:space="0" w:color="000000"/>
              <w:right w:val="nil"/>
            </w:tcBorders>
            <w:shd w:val="clear" w:color="auto" w:fill="auto"/>
            <w:noWrap/>
            <w:vAlign w:val="bottom"/>
            <w:hideMark/>
          </w:tcPr>
          <w:p w14:paraId="5D03DDA0" w14:textId="77777777" w:rsidR="00564B95" w:rsidRPr="002B2821" w:rsidRDefault="00564B95" w:rsidP="00564B95">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491 </w:t>
            </w:r>
          </w:p>
        </w:tc>
        <w:tc>
          <w:tcPr>
            <w:tcW w:w="222" w:type="dxa"/>
            <w:gridSpan w:val="2"/>
            <w:tcBorders>
              <w:top w:val="nil"/>
              <w:left w:val="nil"/>
              <w:bottom w:val="nil"/>
              <w:right w:val="nil"/>
            </w:tcBorders>
            <w:shd w:val="clear" w:color="auto" w:fill="auto"/>
            <w:noWrap/>
            <w:vAlign w:val="bottom"/>
            <w:hideMark/>
          </w:tcPr>
          <w:p w14:paraId="785A21C2" w14:textId="77777777" w:rsidR="00564B95" w:rsidRPr="002B2821" w:rsidRDefault="00564B95" w:rsidP="00564B95">
            <w:pPr>
              <w:spacing w:after="0" w:line="240" w:lineRule="auto"/>
              <w:jc w:val="right"/>
              <w:rPr>
                <w:rFonts w:ascii="Calibri" w:hAnsi="Calibri" w:cs="Arial"/>
                <w:color w:val="000000"/>
                <w:sz w:val="24"/>
                <w:szCs w:val="24"/>
                <w:lang w:eastAsia="en-GB"/>
              </w:rPr>
            </w:pPr>
          </w:p>
        </w:tc>
      </w:tr>
      <w:tr w:rsidR="00564B95" w:rsidRPr="002B2821" w14:paraId="65870371" w14:textId="77777777" w:rsidTr="006704BD">
        <w:trPr>
          <w:trHeight w:val="315"/>
        </w:trPr>
        <w:tc>
          <w:tcPr>
            <w:tcW w:w="4820" w:type="dxa"/>
            <w:tcBorders>
              <w:top w:val="nil"/>
              <w:left w:val="nil"/>
              <w:bottom w:val="nil"/>
              <w:right w:val="nil"/>
            </w:tcBorders>
            <w:shd w:val="clear" w:color="auto" w:fill="auto"/>
            <w:noWrap/>
            <w:vAlign w:val="bottom"/>
            <w:hideMark/>
          </w:tcPr>
          <w:p w14:paraId="5CDB1EF5" w14:textId="77777777" w:rsidR="00564B95" w:rsidRPr="002B2821" w:rsidRDefault="00564B95" w:rsidP="00564B95">
            <w:pPr>
              <w:spacing w:after="0" w:line="240" w:lineRule="auto"/>
              <w:rPr>
                <w:lang w:eastAsia="en-GB"/>
              </w:rPr>
            </w:pPr>
          </w:p>
        </w:tc>
        <w:tc>
          <w:tcPr>
            <w:tcW w:w="574" w:type="dxa"/>
            <w:tcBorders>
              <w:top w:val="nil"/>
              <w:left w:val="nil"/>
              <w:bottom w:val="nil"/>
              <w:right w:val="nil"/>
            </w:tcBorders>
            <w:shd w:val="clear" w:color="auto" w:fill="auto"/>
            <w:noWrap/>
            <w:vAlign w:val="bottom"/>
            <w:hideMark/>
          </w:tcPr>
          <w:p w14:paraId="5D3F9124" w14:textId="77777777" w:rsidR="00564B95" w:rsidRPr="002B2821" w:rsidRDefault="00564B95" w:rsidP="00564B95">
            <w:pPr>
              <w:spacing w:after="0" w:line="240" w:lineRule="auto"/>
              <w:rPr>
                <w:lang w:eastAsia="en-GB"/>
              </w:rPr>
            </w:pPr>
          </w:p>
        </w:tc>
        <w:tc>
          <w:tcPr>
            <w:tcW w:w="236" w:type="dxa"/>
            <w:gridSpan w:val="2"/>
            <w:tcBorders>
              <w:top w:val="nil"/>
              <w:left w:val="nil"/>
              <w:bottom w:val="nil"/>
              <w:right w:val="nil"/>
            </w:tcBorders>
            <w:shd w:val="clear" w:color="auto" w:fill="auto"/>
            <w:noWrap/>
            <w:vAlign w:val="bottom"/>
            <w:hideMark/>
          </w:tcPr>
          <w:p w14:paraId="6AB000BF" w14:textId="77777777" w:rsidR="00564B95" w:rsidRPr="002B2821" w:rsidRDefault="00564B95" w:rsidP="00564B95">
            <w:pPr>
              <w:spacing w:after="0" w:line="240" w:lineRule="auto"/>
              <w:rPr>
                <w:lang w:eastAsia="en-GB"/>
              </w:rPr>
            </w:pPr>
          </w:p>
        </w:tc>
        <w:tc>
          <w:tcPr>
            <w:tcW w:w="1274" w:type="dxa"/>
            <w:gridSpan w:val="2"/>
            <w:tcBorders>
              <w:top w:val="nil"/>
              <w:left w:val="nil"/>
              <w:bottom w:val="nil"/>
              <w:right w:val="nil"/>
            </w:tcBorders>
            <w:shd w:val="clear" w:color="auto" w:fill="auto"/>
            <w:noWrap/>
            <w:vAlign w:val="bottom"/>
            <w:hideMark/>
          </w:tcPr>
          <w:p w14:paraId="7D198416" w14:textId="77777777" w:rsidR="00564B95" w:rsidRPr="002B2821" w:rsidRDefault="00564B95" w:rsidP="00564B95">
            <w:pPr>
              <w:spacing w:after="0" w:line="240" w:lineRule="auto"/>
              <w:rPr>
                <w:lang w:eastAsia="en-GB"/>
              </w:rPr>
            </w:pPr>
          </w:p>
        </w:tc>
        <w:tc>
          <w:tcPr>
            <w:tcW w:w="774" w:type="dxa"/>
            <w:gridSpan w:val="2"/>
            <w:tcBorders>
              <w:top w:val="nil"/>
              <w:left w:val="nil"/>
              <w:bottom w:val="nil"/>
              <w:right w:val="nil"/>
            </w:tcBorders>
            <w:shd w:val="clear" w:color="auto" w:fill="auto"/>
            <w:noWrap/>
            <w:vAlign w:val="bottom"/>
            <w:hideMark/>
          </w:tcPr>
          <w:p w14:paraId="56ED44FD" w14:textId="77777777" w:rsidR="00564B95" w:rsidRPr="002B2821" w:rsidRDefault="00564B95" w:rsidP="00564B95">
            <w:pPr>
              <w:spacing w:after="0" w:line="240" w:lineRule="auto"/>
              <w:rPr>
                <w:lang w:eastAsia="en-GB"/>
              </w:rPr>
            </w:pPr>
          </w:p>
        </w:tc>
        <w:tc>
          <w:tcPr>
            <w:tcW w:w="1062" w:type="dxa"/>
            <w:gridSpan w:val="2"/>
            <w:tcBorders>
              <w:top w:val="nil"/>
              <w:left w:val="nil"/>
              <w:bottom w:val="nil"/>
              <w:right w:val="nil"/>
            </w:tcBorders>
            <w:shd w:val="clear" w:color="auto" w:fill="auto"/>
            <w:noWrap/>
            <w:vAlign w:val="bottom"/>
            <w:hideMark/>
          </w:tcPr>
          <w:p w14:paraId="677C87A2" w14:textId="77777777" w:rsidR="00564B95" w:rsidRPr="002B2821" w:rsidRDefault="00564B95" w:rsidP="00564B95">
            <w:pPr>
              <w:spacing w:after="0" w:line="240" w:lineRule="auto"/>
              <w:rPr>
                <w:lang w:eastAsia="en-GB"/>
              </w:rPr>
            </w:pPr>
          </w:p>
        </w:tc>
        <w:tc>
          <w:tcPr>
            <w:tcW w:w="222" w:type="dxa"/>
            <w:gridSpan w:val="2"/>
            <w:tcBorders>
              <w:top w:val="nil"/>
              <w:left w:val="nil"/>
              <w:bottom w:val="nil"/>
              <w:right w:val="nil"/>
            </w:tcBorders>
            <w:shd w:val="clear" w:color="auto" w:fill="auto"/>
            <w:noWrap/>
            <w:vAlign w:val="bottom"/>
            <w:hideMark/>
          </w:tcPr>
          <w:p w14:paraId="2F6C3702" w14:textId="77777777" w:rsidR="00564B95" w:rsidRPr="002B2821" w:rsidRDefault="00564B95" w:rsidP="00564B95">
            <w:pPr>
              <w:spacing w:after="0" w:line="240" w:lineRule="auto"/>
              <w:rPr>
                <w:lang w:eastAsia="en-GB"/>
              </w:rPr>
            </w:pPr>
          </w:p>
        </w:tc>
      </w:tr>
    </w:tbl>
    <w:p w14:paraId="132DD2D2" w14:textId="77777777" w:rsidR="00E23EAE" w:rsidRPr="002B2821" w:rsidRDefault="00E23EAE">
      <w:pPr>
        <w:spacing w:after="0" w:line="240" w:lineRule="auto"/>
        <w:rPr>
          <w:rFonts w:asciiTheme="minorHAnsi" w:hAnsiTheme="minorHAnsi" w:cs="Arial"/>
          <w:b/>
          <w:color w:val="0000FF"/>
          <w:sz w:val="24"/>
          <w:szCs w:val="24"/>
        </w:rPr>
      </w:pPr>
      <w:r w:rsidRPr="002B2821">
        <w:rPr>
          <w:rFonts w:asciiTheme="minorHAnsi" w:hAnsiTheme="minorHAnsi" w:cs="Arial"/>
          <w:b/>
          <w:color w:val="0000FF"/>
          <w:sz w:val="24"/>
          <w:szCs w:val="24"/>
        </w:rPr>
        <w:br w:type="page"/>
      </w:r>
    </w:p>
    <w:p w14:paraId="5FFD8F04" w14:textId="51C32533" w:rsidR="00B1587C" w:rsidRPr="00F91082" w:rsidRDefault="00B1587C">
      <w:pPr>
        <w:pStyle w:val="Heading1"/>
        <w:rPr>
          <w:rFonts w:asciiTheme="minorHAnsi" w:hAnsiTheme="minorHAnsi"/>
          <w:szCs w:val="24"/>
        </w:rPr>
      </w:pPr>
      <w:bookmarkStart w:id="41" w:name="_Toc517758080"/>
      <w:bookmarkStart w:id="42" w:name="_Toc532990625"/>
      <w:r w:rsidRPr="00F91082">
        <w:rPr>
          <w:rFonts w:asciiTheme="minorHAnsi" w:hAnsiTheme="minorHAnsi"/>
          <w:szCs w:val="24"/>
        </w:rPr>
        <w:lastRenderedPageBreak/>
        <w:t xml:space="preserve">Notes to the financial statements for the </w:t>
      </w:r>
      <w:r w:rsidR="0048234C" w:rsidRPr="00F91082">
        <w:rPr>
          <w:rFonts w:asciiTheme="minorHAnsi" w:hAnsiTheme="minorHAnsi"/>
          <w:szCs w:val="24"/>
        </w:rPr>
        <w:t>year</w:t>
      </w:r>
      <w:r w:rsidR="00D33DFF" w:rsidRPr="00F91082">
        <w:rPr>
          <w:rFonts w:asciiTheme="minorHAnsi" w:hAnsiTheme="minorHAnsi"/>
          <w:szCs w:val="24"/>
        </w:rPr>
        <w:t xml:space="preserve"> ended 30 September 201</w:t>
      </w:r>
      <w:bookmarkEnd w:id="41"/>
      <w:r w:rsidR="00163103" w:rsidRPr="00F91082">
        <w:rPr>
          <w:rFonts w:asciiTheme="minorHAnsi" w:hAnsiTheme="minorHAnsi"/>
          <w:szCs w:val="24"/>
        </w:rPr>
        <w:t>8</w:t>
      </w:r>
      <w:bookmarkEnd w:id="42"/>
    </w:p>
    <w:p w14:paraId="1D64664B" w14:textId="77777777" w:rsidR="00B1587C" w:rsidRPr="002B2821" w:rsidRDefault="00B1587C" w:rsidP="00E540A0">
      <w:pPr>
        <w:pStyle w:val="Heading2"/>
        <w:numPr>
          <w:ilvl w:val="0"/>
          <w:numId w:val="7"/>
        </w:numPr>
        <w:spacing w:after="180" w:line="240" w:lineRule="auto"/>
        <w:rPr>
          <w:rFonts w:asciiTheme="minorHAnsi" w:hAnsiTheme="minorHAnsi" w:cs="Arial"/>
          <w:color w:val="442359"/>
          <w:sz w:val="24"/>
          <w:szCs w:val="24"/>
        </w:rPr>
      </w:pPr>
      <w:r w:rsidRPr="002B2821">
        <w:rPr>
          <w:rFonts w:asciiTheme="minorHAnsi" w:hAnsiTheme="minorHAnsi" w:cs="Arial"/>
          <w:color w:val="442359"/>
          <w:sz w:val="24"/>
          <w:szCs w:val="24"/>
        </w:rPr>
        <w:t>Accounting policies</w:t>
      </w:r>
    </w:p>
    <w:p w14:paraId="2FB51CEB" w14:textId="77777777" w:rsidR="00B1587C" w:rsidRPr="002B2821" w:rsidRDefault="00B1587C" w:rsidP="00E540A0">
      <w:pPr>
        <w:tabs>
          <w:tab w:val="left" w:pos="0"/>
          <w:tab w:val="left" w:pos="720"/>
          <w:tab w:val="decimal" w:pos="3918"/>
          <w:tab w:val="decimal" w:pos="5792"/>
          <w:tab w:val="decimal" w:pos="7242"/>
          <w:tab w:val="decimal" w:pos="8667"/>
        </w:tabs>
        <w:suppressAutoHyphens/>
        <w:spacing w:after="180" w:line="240" w:lineRule="auto"/>
        <w:jc w:val="both"/>
        <w:rPr>
          <w:rFonts w:asciiTheme="minorHAnsi" w:hAnsiTheme="minorHAnsi" w:cs="Arial"/>
          <w:b/>
          <w:color w:val="0000FF"/>
          <w:spacing w:val="-3"/>
          <w:kern w:val="2"/>
          <w:sz w:val="24"/>
          <w:szCs w:val="24"/>
        </w:rPr>
      </w:pPr>
      <w:r w:rsidRPr="002B2821">
        <w:rPr>
          <w:rFonts w:asciiTheme="minorHAnsi" w:hAnsiTheme="minorHAnsi" w:cs="Arial"/>
          <w:b/>
          <w:color w:val="442359"/>
          <w:spacing w:val="-3"/>
          <w:kern w:val="2"/>
          <w:sz w:val="24"/>
          <w:szCs w:val="24"/>
        </w:rPr>
        <w:t>Basis of preparation</w:t>
      </w:r>
    </w:p>
    <w:p w14:paraId="52233CC2" w14:textId="7152AE87" w:rsidR="008A100D" w:rsidRPr="002B2821" w:rsidRDefault="008A100D" w:rsidP="00096730">
      <w:pPr>
        <w:spacing w:after="180" w:line="240" w:lineRule="auto"/>
        <w:rPr>
          <w:rFonts w:asciiTheme="minorHAnsi" w:hAnsiTheme="minorHAnsi" w:cs="Arial"/>
          <w:sz w:val="24"/>
          <w:szCs w:val="24"/>
        </w:rPr>
      </w:pPr>
      <w:r w:rsidRPr="002B2821">
        <w:rPr>
          <w:rFonts w:asciiTheme="minorHAnsi" w:hAnsiTheme="minorHAnsi" w:cs="Arial"/>
          <w:sz w:val="24"/>
          <w:szCs w:val="24"/>
        </w:rPr>
        <w:t xml:space="preserve">The financial statements have been prepared in accordance with the Statement of Recommended Practice: Accounting and Reporting by Charities preparing their </w:t>
      </w:r>
      <w:r w:rsidR="000E1077">
        <w:rPr>
          <w:rFonts w:asciiTheme="minorHAnsi" w:hAnsiTheme="minorHAnsi" w:cs="Arial"/>
          <w:sz w:val="24"/>
          <w:szCs w:val="24"/>
        </w:rPr>
        <w:t>financial statements</w:t>
      </w:r>
      <w:r w:rsidR="000E1077" w:rsidRPr="002B2821">
        <w:rPr>
          <w:rFonts w:asciiTheme="minorHAnsi" w:hAnsiTheme="minorHAnsi" w:cs="Arial"/>
          <w:sz w:val="24"/>
          <w:szCs w:val="24"/>
        </w:rPr>
        <w:t xml:space="preserve"> </w:t>
      </w:r>
      <w:r w:rsidRPr="002B2821">
        <w:rPr>
          <w:rFonts w:asciiTheme="minorHAnsi" w:hAnsiTheme="minorHAnsi" w:cs="Arial"/>
          <w:sz w:val="24"/>
          <w:szCs w:val="24"/>
        </w:rPr>
        <w:t>in accordance with the Financial Reporting Standard applicable in the UK and Republic of Ireland (FRS 102) issued on 16 July 2014 and the Financial Reporting Standard applicable in the United Kingdom and Republic of Ireland (FRS 102) and the Charities Act 2011 and UK Generally Accepted Practice as it applies from 1 January 2015.</w:t>
      </w:r>
    </w:p>
    <w:p w14:paraId="2CDED311" w14:textId="0BFE6782" w:rsidR="008A100D" w:rsidRPr="002B2821" w:rsidRDefault="008A100D" w:rsidP="00096730">
      <w:pPr>
        <w:spacing w:after="180" w:line="240" w:lineRule="auto"/>
        <w:rPr>
          <w:rFonts w:asciiTheme="minorHAnsi" w:hAnsiTheme="minorHAnsi" w:cs="Arial"/>
          <w:sz w:val="24"/>
          <w:szCs w:val="24"/>
        </w:rPr>
      </w:pPr>
      <w:r w:rsidRPr="002B2821">
        <w:rPr>
          <w:rFonts w:asciiTheme="minorHAnsi" w:hAnsiTheme="minorHAnsi" w:cs="Arial"/>
          <w:sz w:val="24"/>
          <w:szCs w:val="24"/>
        </w:rPr>
        <w:t xml:space="preserve">The financial statements have been prepared to give a ‘true and fair’ view and have departed from the Charities (Accounts and Reports) Regulations 2008 only to the extent required to provide a ‘true and fair view’. This departure has involved following Accounting and Reporting by Charities preparing their </w:t>
      </w:r>
      <w:r w:rsidR="000E1077">
        <w:rPr>
          <w:rFonts w:asciiTheme="minorHAnsi" w:hAnsiTheme="minorHAnsi" w:cs="Arial"/>
          <w:sz w:val="24"/>
          <w:szCs w:val="24"/>
        </w:rPr>
        <w:t>financial statement</w:t>
      </w:r>
      <w:r w:rsidR="000E1077" w:rsidRPr="002B2821">
        <w:rPr>
          <w:rFonts w:asciiTheme="minorHAnsi" w:hAnsiTheme="minorHAnsi" w:cs="Arial"/>
          <w:sz w:val="24"/>
          <w:szCs w:val="24"/>
        </w:rPr>
        <w:t xml:space="preserve">s </w:t>
      </w:r>
      <w:r w:rsidRPr="002B2821">
        <w:rPr>
          <w:rFonts w:asciiTheme="minorHAnsi" w:hAnsiTheme="minorHAnsi" w:cs="Arial"/>
          <w:sz w:val="24"/>
          <w:szCs w:val="24"/>
        </w:rPr>
        <w:t>in accordance with the Financial Reporting Standard applicable in the UK and Republic of Ireland (FRS 102) issued on 16 July 2014 rather than the Accounting and Reporting by Charities: Statement of Recommended Practice effective from 1 April 2005 which has since been withdrawn.</w:t>
      </w:r>
    </w:p>
    <w:p w14:paraId="6625E963" w14:textId="77777777" w:rsidR="007F422B" w:rsidRDefault="00843CE2" w:rsidP="007A68E9">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The Trust</w:t>
      </w:r>
      <w:r w:rsidR="00747E5E" w:rsidRPr="002B2821">
        <w:rPr>
          <w:rFonts w:asciiTheme="minorHAnsi" w:hAnsiTheme="minorHAnsi" w:cs="Arial"/>
          <w:spacing w:val="-3"/>
          <w:kern w:val="2"/>
          <w:sz w:val="24"/>
          <w:szCs w:val="24"/>
        </w:rPr>
        <w:t>, which is an unincorporated discretionary charitable trust,</w:t>
      </w:r>
      <w:r w:rsidRPr="002B2821">
        <w:rPr>
          <w:rFonts w:asciiTheme="minorHAnsi" w:hAnsiTheme="minorHAnsi" w:cs="Arial"/>
          <w:spacing w:val="-3"/>
          <w:kern w:val="2"/>
          <w:sz w:val="24"/>
          <w:szCs w:val="24"/>
        </w:rPr>
        <w:t xml:space="preserve"> constitutes a public benefit entity as defined by FRS 102. The financial statements have been prepared on a going concern basis </w:t>
      </w:r>
      <w:r w:rsidR="007F422B" w:rsidRPr="00C41ED0">
        <w:rPr>
          <w:rFonts w:asciiTheme="minorHAnsi" w:hAnsiTheme="minorHAnsi" w:cs="Arial"/>
          <w:spacing w:val="-3"/>
          <w:kern w:val="2"/>
          <w:sz w:val="24"/>
          <w:szCs w:val="24"/>
        </w:rPr>
        <w:t xml:space="preserve">(that is </w:t>
      </w:r>
      <w:r w:rsidR="007F422B" w:rsidRPr="00C41ED0">
        <w:rPr>
          <w:rFonts w:asciiTheme="minorHAnsi" w:hAnsiTheme="minorHAnsi"/>
          <w:sz w:val="24"/>
          <w:szCs w:val="24"/>
        </w:rPr>
        <w:t>to say, that the charity has the resources to continue in operations for a minimum of 12 months from the date of signing these financial statements</w:t>
      </w:r>
      <w:r w:rsidR="007F422B" w:rsidRPr="00C41ED0">
        <w:rPr>
          <w:rFonts w:asciiTheme="minorHAnsi" w:hAnsiTheme="minorHAnsi" w:cs="Arial"/>
          <w:spacing w:val="-3"/>
          <w:kern w:val="2"/>
          <w:sz w:val="24"/>
          <w:szCs w:val="24"/>
        </w:rPr>
        <w:t xml:space="preserve">) </w:t>
      </w:r>
      <w:r w:rsidRPr="00C41ED0">
        <w:rPr>
          <w:rFonts w:asciiTheme="minorHAnsi" w:hAnsiTheme="minorHAnsi" w:cs="Arial"/>
          <w:spacing w:val="-3"/>
          <w:kern w:val="2"/>
          <w:sz w:val="24"/>
          <w:szCs w:val="24"/>
        </w:rPr>
        <w:t xml:space="preserve">and </w:t>
      </w:r>
      <w:r w:rsidRPr="002B2821">
        <w:rPr>
          <w:rFonts w:asciiTheme="minorHAnsi" w:hAnsiTheme="minorHAnsi" w:cs="Arial"/>
          <w:spacing w:val="-3"/>
          <w:kern w:val="2"/>
          <w:sz w:val="24"/>
          <w:szCs w:val="24"/>
        </w:rPr>
        <w:t>accounting policies have been applied consistently</w:t>
      </w:r>
      <w:r w:rsidR="00234534">
        <w:rPr>
          <w:rFonts w:asciiTheme="minorHAnsi" w:hAnsiTheme="minorHAnsi" w:cs="Arial"/>
          <w:spacing w:val="-3"/>
          <w:kern w:val="2"/>
          <w:sz w:val="24"/>
          <w:szCs w:val="24"/>
        </w:rPr>
        <w:t>.</w:t>
      </w:r>
    </w:p>
    <w:p w14:paraId="18E04A4B" w14:textId="59D9749D" w:rsidR="007F422B" w:rsidRDefault="005F7EC1" w:rsidP="007A68E9">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The undertaking by Diageo</w:t>
      </w:r>
      <w:r w:rsidR="006D065C">
        <w:rPr>
          <w:rFonts w:asciiTheme="minorHAnsi" w:hAnsiTheme="minorHAnsi" w:cs="Arial"/>
          <w:spacing w:val="-3"/>
          <w:kern w:val="2"/>
          <w:sz w:val="24"/>
          <w:szCs w:val="24"/>
        </w:rPr>
        <w:t xml:space="preserve"> plc</w:t>
      </w:r>
      <w:r w:rsidRPr="002B2821">
        <w:rPr>
          <w:rFonts w:asciiTheme="minorHAnsi" w:hAnsiTheme="minorHAnsi" w:cs="Arial"/>
          <w:spacing w:val="-3"/>
          <w:kern w:val="2"/>
          <w:sz w:val="24"/>
          <w:szCs w:val="24"/>
        </w:rPr>
        <w:t xml:space="preserve"> to make annual donation payments until 2037</w:t>
      </w:r>
      <w:r w:rsidR="00711DC7" w:rsidRPr="002B2821">
        <w:rPr>
          <w:rFonts w:asciiTheme="minorHAnsi" w:hAnsiTheme="minorHAnsi" w:cs="Arial"/>
          <w:spacing w:val="-3"/>
          <w:kern w:val="2"/>
          <w:sz w:val="24"/>
          <w:szCs w:val="24"/>
        </w:rPr>
        <w:t xml:space="preserve"> and the </w:t>
      </w:r>
      <w:r w:rsidR="00141DA2" w:rsidRPr="002B2821">
        <w:rPr>
          <w:rFonts w:asciiTheme="minorHAnsi" w:hAnsiTheme="minorHAnsi" w:cs="Arial"/>
          <w:spacing w:val="-3"/>
          <w:kern w:val="2"/>
          <w:sz w:val="24"/>
          <w:szCs w:val="24"/>
        </w:rPr>
        <w:t>H</w:t>
      </w:r>
      <w:r w:rsidR="00711DC7" w:rsidRPr="002B2821">
        <w:rPr>
          <w:rFonts w:asciiTheme="minorHAnsi" w:hAnsiTheme="minorHAnsi" w:cs="Arial"/>
          <w:spacing w:val="-3"/>
          <w:kern w:val="2"/>
          <w:sz w:val="24"/>
          <w:szCs w:val="24"/>
        </w:rPr>
        <w:t xml:space="preserve">ealth </w:t>
      </w:r>
      <w:r w:rsidR="00141DA2" w:rsidRPr="002B2821">
        <w:rPr>
          <w:rFonts w:asciiTheme="minorHAnsi" w:hAnsiTheme="minorHAnsi" w:cs="Arial"/>
          <w:spacing w:val="-3"/>
          <w:kern w:val="2"/>
          <w:sz w:val="24"/>
          <w:szCs w:val="24"/>
        </w:rPr>
        <w:t>G</w:t>
      </w:r>
      <w:r w:rsidR="00711DC7" w:rsidRPr="002B2821">
        <w:rPr>
          <w:rFonts w:asciiTheme="minorHAnsi" w:hAnsiTheme="minorHAnsi" w:cs="Arial"/>
          <w:spacing w:val="-3"/>
          <w:kern w:val="2"/>
          <w:sz w:val="24"/>
          <w:szCs w:val="24"/>
        </w:rPr>
        <w:t xml:space="preserve">rant funding agreements </w:t>
      </w:r>
      <w:r w:rsidR="002F7105" w:rsidRPr="002B2821">
        <w:rPr>
          <w:rFonts w:asciiTheme="minorHAnsi" w:hAnsiTheme="minorHAnsi" w:cs="Arial"/>
          <w:spacing w:val="-3"/>
          <w:kern w:val="2"/>
          <w:sz w:val="24"/>
          <w:szCs w:val="24"/>
        </w:rPr>
        <w:t xml:space="preserve">that </w:t>
      </w:r>
      <w:r w:rsidR="00711DC7" w:rsidRPr="002B2821">
        <w:rPr>
          <w:rFonts w:asciiTheme="minorHAnsi" w:hAnsiTheme="minorHAnsi" w:cs="Arial"/>
          <w:spacing w:val="-3"/>
          <w:kern w:val="2"/>
          <w:sz w:val="24"/>
          <w:szCs w:val="24"/>
        </w:rPr>
        <w:t>are in place until 2022,</w:t>
      </w:r>
      <w:r w:rsidRPr="002B2821">
        <w:rPr>
          <w:rFonts w:asciiTheme="minorHAnsi" w:hAnsiTheme="minorHAnsi" w:cs="Arial"/>
          <w:spacing w:val="-3"/>
          <w:kern w:val="2"/>
          <w:sz w:val="24"/>
          <w:szCs w:val="24"/>
        </w:rPr>
        <w:t xml:space="preserve"> support the conclusion that the charity is a going concern. </w:t>
      </w:r>
    </w:p>
    <w:p w14:paraId="7B53FEED" w14:textId="065B7FC8" w:rsidR="00843CE2" w:rsidRPr="002B2821" w:rsidRDefault="00843CE2" w:rsidP="007A68E9">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The financial statements are prepared in sterling</w:t>
      </w:r>
      <w:r w:rsidR="00711DC7" w:rsidRPr="002B2821">
        <w:rPr>
          <w:rFonts w:asciiTheme="minorHAnsi" w:hAnsiTheme="minorHAnsi" w:cs="Arial"/>
          <w:spacing w:val="-3"/>
          <w:kern w:val="2"/>
          <w:sz w:val="24"/>
          <w:szCs w:val="24"/>
        </w:rPr>
        <w:t>,</w:t>
      </w:r>
      <w:r w:rsidRPr="002B2821">
        <w:rPr>
          <w:rFonts w:asciiTheme="minorHAnsi" w:hAnsiTheme="minorHAnsi" w:cs="Arial"/>
          <w:spacing w:val="-3"/>
          <w:kern w:val="2"/>
          <w:sz w:val="24"/>
          <w:szCs w:val="24"/>
        </w:rPr>
        <w:t xml:space="preserve"> which is the functional currency of the Trust</w:t>
      </w:r>
      <w:r w:rsidR="000E1077">
        <w:rPr>
          <w:rFonts w:asciiTheme="minorHAnsi" w:hAnsiTheme="minorHAnsi" w:cs="Arial"/>
          <w:spacing w:val="-3"/>
          <w:kern w:val="2"/>
          <w:sz w:val="24"/>
          <w:szCs w:val="24"/>
        </w:rPr>
        <w:t>,</w:t>
      </w:r>
      <w:r w:rsidRPr="002B2821">
        <w:rPr>
          <w:rFonts w:asciiTheme="minorHAnsi" w:hAnsiTheme="minorHAnsi" w:cs="Arial"/>
          <w:spacing w:val="-3"/>
          <w:kern w:val="2"/>
          <w:sz w:val="24"/>
          <w:szCs w:val="24"/>
        </w:rPr>
        <w:t xml:space="preserve"> and rounded to the nearest £000.</w:t>
      </w:r>
      <w:r w:rsidR="00711DC7" w:rsidRPr="002B2821">
        <w:rPr>
          <w:rFonts w:asciiTheme="minorHAnsi" w:hAnsiTheme="minorHAnsi" w:cs="Arial"/>
          <w:spacing w:val="-3"/>
          <w:kern w:val="2"/>
          <w:sz w:val="24"/>
          <w:szCs w:val="24"/>
        </w:rPr>
        <w:t xml:space="preserve"> The date for authorisation of the issue of the financial statements </w:t>
      </w:r>
      <w:r w:rsidR="00AB19B9" w:rsidRPr="002B2821">
        <w:rPr>
          <w:rFonts w:asciiTheme="minorHAnsi" w:hAnsiTheme="minorHAnsi" w:cs="Arial"/>
          <w:spacing w:val="-3"/>
          <w:kern w:val="2"/>
          <w:sz w:val="24"/>
          <w:szCs w:val="24"/>
        </w:rPr>
        <w:t>was</w:t>
      </w:r>
      <w:r w:rsidR="00711DC7" w:rsidRPr="002B2821">
        <w:rPr>
          <w:rFonts w:asciiTheme="minorHAnsi" w:hAnsiTheme="minorHAnsi" w:cs="Arial"/>
          <w:spacing w:val="-3"/>
          <w:kern w:val="2"/>
          <w:sz w:val="24"/>
          <w:szCs w:val="24"/>
        </w:rPr>
        <w:t xml:space="preserve"> </w:t>
      </w:r>
      <w:r w:rsidR="00334559" w:rsidRPr="002B2821">
        <w:rPr>
          <w:rFonts w:asciiTheme="minorHAnsi" w:hAnsiTheme="minorHAnsi" w:cs="Arial"/>
          <w:spacing w:val="-3"/>
          <w:kern w:val="2"/>
          <w:sz w:val="24"/>
          <w:szCs w:val="24"/>
        </w:rPr>
        <w:t>2</w:t>
      </w:r>
      <w:r w:rsidR="00163103" w:rsidRPr="002B2821">
        <w:rPr>
          <w:rFonts w:asciiTheme="minorHAnsi" w:hAnsiTheme="minorHAnsi" w:cs="Arial"/>
          <w:spacing w:val="-3"/>
          <w:kern w:val="2"/>
          <w:sz w:val="24"/>
          <w:szCs w:val="24"/>
        </w:rPr>
        <w:t>2</w:t>
      </w:r>
      <w:r w:rsidR="00334559" w:rsidRPr="002B2821">
        <w:rPr>
          <w:rFonts w:asciiTheme="minorHAnsi" w:hAnsiTheme="minorHAnsi" w:cs="Arial"/>
          <w:spacing w:val="-3"/>
          <w:kern w:val="2"/>
          <w:sz w:val="24"/>
          <w:szCs w:val="24"/>
        </w:rPr>
        <w:t xml:space="preserve"> </w:t>
      </w:r>
      <w:r w:rsidR="00711DC7" w:rsidRPr="002B2821">
        <w:rPr>
          <w:rFonts w:asciiTheme="minorHAnsi" w:hAnsiTheme="minorHAnsi" w:cs="Arial"/>
          <w:spacing w:val="-3"/>
          <w:kern w:val="2"/>
          <w:sz w:val="24"/>
          <w:szCs w:val="24"/>
        </w:rPr>
        <w:t>January 201</w:t>
      </w:r>
      <w:r w:rsidR="00163103" w:rsidRPr="002B2821">
        <w:rPr>
          <w:rFonts w:asciiTheme="minorHAnsi" w:hAnsiTheme="minorHAnsi" w:cs="Arial"/>
          <w:spacing w:val="-3"/>
          <w:kern w:val="2"/>
          <w:sz w:val="24"/>
          <w:szCs w:val="24"/>
        </w:rPr>
        <w:t>9</w:t>
      </w:r>
      <w:r w:rsidR="00711DC7" w:rsidRPr="002B2821">
        <w:rPr>
          <w:rFonts w:asciiTheme="minorHAnsi" w:hAnsiTheme="minorHAnsi" w:cs="Arial"/>
          <w:spacing w:val="-3"/>
          <w:kern w:val="2"/>
          <w:sz w:val="24"/>
          <w:szCs w:val="24"/>
        </w:rPr>
        <w:t>.</w:t>
      </w:r>
    </w:p>
    <w:p w14:paraId="6067BC70" w14:textId="77777777" w:rsidR="00B1587C" w:rsidRPr="002B2821" w:rsidRDefault="00B1587C" w:rsidP="00096730">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color w:val="442359"/>
          <w:spacing w:val="-3"/>
          <w:kern w:val="2"/>
          <w:sz w:val="24"/>
          <w:szCs w:val="24"/>
        </w:rPr>
      </w:pPr>
      <w:r w:rsidRPr="002B2821">
        <w:rPr>
          <w:rFonts w:asciiTheme="minorHAnsi" w:hAnsiTheme="minorHAnsi" w:cs="Arial"/>
          <w:b/>
          <w:color w:val="442359"/>
          <w:spacing w:val="-3"/>
          <w:kern w:val="2"/>
          <w:sz w:val="24"/>
          <w:szCs w:val="24"/>
        </w:rPr>
        <w:t>Fund accounting</w:t>
      </w:r>
    </w:p>
    <w:p w14:paraId="06B4F5B9" w14:textId="77777777" w:rsidR="00B1587C" w:rsidRPr="002B2821" w:rsidRDefault="00B1587C" w:rsidP="00096730">
      <w:pPr>
        <w:tabs>
          <w:tab w:val="left" w:pos="0"/>
          <w:tab w:val="left" w:pos="720"/>
          <w:tab w:val="decimal" w:pos="3918"/>
          <w:tab w:val="decimal" w:pos="5792"/>
          <w:tab w:val="decimal" w:pos="7242"/>
          <w:tab w:val="decimal" w:pos="8667"/>
        </w:tabs>
        <w:suppressAutoHyphens/>
        <w:spacing w:after="180" w:line="240" w:lineRule="auto"/>
        <w:rPr>
          <w:rStyle w:val="STANDARD1"/>
          <w:rFonts w:asciiTheme="minorHAnsi" w:hAnsiTheme="minorHAnsi" w:cs="Arial"/>
          <w:color w:val="442359"/>
          <w:spacing w:val="-3"/>
          <w:kern w:val="2"/>
          <w:sz w:val="24"/>
          <w:szCs w:val="24"/>
        </w:rPr>
      </w:pPr>
      <w:r w:rsidRPr="002B2821">
        <w:rPr>
          <w:rStyle w:val="STANDARD1"/>
          <w:rFonts w:asciiTheme="minorHAnsi" w:hAnsiTheme="minorHAnsi" w:cs="Arial"/>
          <w:color w:val="442359"/>
          <w:spacing w:val="-3"/>
          <w:kern w:val="2"/>
          <w:sz w:val="24"/>
          <w:szCs w:val="24"/>
        </w:rPr>
        <w:t>Unrestricted Funds</w:t>
      </w:r>
    </w:p>
    <w:p w14:paraId="6743764C" w14:textId="77777777" w:rsidR="00B1587C" w:rsidRPr="002B2821" w:rsidRDefault="00B1587C" w:rsidP="00096730">
      <w:pPr>
        <w:tabs>
          <w:tab w:val="left" w:pos="0"/>
          <w:tab w:val="left" w:pos="720"/>
          <w:tab w:val="decimal" w:pos="3918"/>
          <w:tab w:val="decimal" w:pos="5792"/>
          <w:tab w:val="decimal" w:pos="7242"/>
          <w:tab w:val="decimal" w:pos="8667"/>
        </w:tabs>
        <w:suppressAutoHyphens/>
        <w:spacing w:after="180" w:line="240" w:lineRule="auto"/>
        <w:rPr>
          <w:rStyle w:val="STANDARD1"/>
          <w:rFonts w:asciiTheme="minorHAnsi" w:hAnsiTheme="minorHAnsi" w:cs="Arial"/>
          <w:spacing w:val="-3"/>
          <w:kern w:val="2"/>
          <w:sz w:val="24"/>
          <w:szCs w:val="24"/>
        </w:rPr>
      </w:pPr>
      <w:r w:rsidRPr="002B2821">
        <w:rPr>
          <w:rStyle w:val="STANDARD1"/>
          <w:rFonts w:asciiTheme="minorHAnsi" w:hAnsiTheme="minorHAnsi" w:cs="Arial"/>
          <w:spacing w:val="-3"/>
          <w:kern w:val="2"/>
          <w:sz w:val="24"/>
          <w:szCs w:val="24"/>
        </w:rPr>
        <w:t xml:space="preserve">Unrestricted funds are expendable at the discretion of the </w:t>
      </w:r>
      <w:r w:rsidR="006C792A" w:rsidRPr="002B2821">
        <w:rPr>
          <w:rStyle w:val="STANDARD1"/>
          <w:rFonts w:asciiTheme="minorHAnsi" w:hAnsiTheme="minorHAnsi" w:cs="Arial"/>
          <w:spacing w:val="-3"/>
          <w:kern w:val="2"/>
          <w:sz w:val="24"/>
          <w:szCs w:val="24"/>
        </w:rPr>
        <w:t>t</w:t>
      </w:r>
      <w:r w:rsidRPr="002B2821">
        <w:rPr>
          <w:rStyle w:val="STANDARD1"/>
          <w:rFonts w:asciiTheme="minorHAnsi" w:hAnsiTheme="minorHAnsi" w:cs="Arial"/>
          <w:spacing w:val="-3"/>
          <w:kern w:val="2"/>
          <w:sz w:val="24"/>
          <w:szCs w:val="24"/>
        </w:rPr>
        <w:t>rustees in the furtherance of the objects of the Thalidomide Trust.</w:t>
      </w:r>
      <w:r w:rsidR="00F059AB" w:rsidRPr="002B2821">
        <w:rPr>
          <w:rStyle w:val="STANDARD1"/>
          <w:rFonts w:asciiTheme="minorHAnsi" w:hAnsiTheme="minorHAnsi" w:cs="Arial"/>
          <w:spacing w:val="-3"/>
          <w:kern w:val="2"/>
          <w:sz w:val="24"/>
          <w:szCs w:val="24"/>
        </w:rPr>
        <w:t xml:space="preserve"> The Trust’s level of reserves is maintained in order to meet the anticipated future grant allocations.</w:t>
      </w:r>
    </w:p>
    <w:p w14:paraId="221E3560" w14:textId="14293538" w:rsidR="00B1587C" w:rsidRPr="002B2821" w:rsidRDefault="0065093C" w:rsidP="00096730">
      <w:pPr>
        <w:tabs>
          <w:tab w:val="left" w:pos="0"/>
          <w:tab w:val="left" w:pos="720"/>
          <w:tab w:val="decimal" w:pos="3918"/>
          <w:tab w:val="decimal" w:pos="5792"/>
          <w:tab w:val="decimal" w:pos="7242"/>
          <w:tab w:val="decimal" w:pos="8667"/>
        </w:tabs>
        <w:suppressAutoHyphens/>
        <w:spacing w:after="180" w:line="240" w:lineRule="auto"/>
        <w:rPr>
          <w:rStyle w:val="STANDARD1"/>
          <w:rFonts w:asciiTheme="minorHAnsi" w:hAnsiTheme="minorHAnsi" w:cs="Arial"/>
          <w:spacing w:val="-3"/>
          <w:kern w:val="2"/>
          <w:sz w:val="24"/>
          <w:szCs w:val="24"/>
        </w:rPr>
      </w:pPr>
      <w:r>
        <w:rPr>
          <w:rStyle w:val="STANDARD1"/>
          <w:rFonts w:asciiTheme="minorHAnsi" w:hAnsiTheme="minorHAnsi" w:cs="Arial"/>
          <w:spacing w:val="-3"/>
          <w:kern w:val="2"/>
          <w:sz w:val="24"/>
          <w:szCs w:val="24"/>
        </w:rPr>
        <w:t xml:space="preserve">The General Fund and </w:t>
      </w:r>
      <w:r w:rsidRPr="002B2821">
        <w:rPr>
          <w:rFonts w:ascii="Calibri" w:hAnsi="Calibri" w:cs="Arial"/>
          <w:color w:val="000000"/>
          <w:sz w:val="24"/>
          <w:szCs w:val="24"/>
          <w:lang w:eastAsia="en-GB"/>
        </w:rPr>
        <w:t xml:space="preserve">Beneficiary Memorandum </w:t>
      </w:r>
      <w:r w:rsidR="00B1587C" w:rsidRPr="002B2821">
        <w:rPr>
          <w:rStyle w:val="STANDARD1"/>
          <w:rFonts w:asciiTheme="minorHAnsi" w:hAnsiTheme="minorHAnsi" w:cs="Arial"/>
          <w:spacing w:val="-3"/>
          <w:kern w:val="2"/>
          <w:sz w:val="24"/>
          <w:szCs w:val="24"/>
        </w:rPr>
        <w:t>Accounts</w:t>
      </w:r>
      <w:r w:rsidR="00BA4C70" w:rsidRPr="002B2821">
        <w:rPr>
          <w:rStyle w:val="STANDARD1"/>
          <w:rFonts w:asciiTheme="minorHAnsi" w:hAnsiTheme="minorHAnsi" w:cs="Arial"/>
          <w:spacing w:val="-3"/>
          <w:kern w:val="2"/>
          <w:sz w:val="24"/>
          <w:szCs w:val="24"/>
        </w:rPr>
        <w:t xml:space="preserve"> </w:t>
      </w:r>
      <w:r w:rsidR="00B1587C" w:rsidRPr="002B2821">
        <w:rPr>
          <w:rStyle w:val="STANDARD1"/>
          <w:rFonts w:asciiTheme="minorHAnsi" w:hAnsiTheme="minorHAnsi" w:cs="Arial"/>
          <w:spacing w:val="-3"/>
          <w:kern w:val="2"/>
          <w:sz w:val="24"/>
          <w:szCs w:val="24"/>
        </w:rPr>
        <w:t xml:space="preserve">are derived from funds provided by Diageo </w:t>
      </w:r>
      <w:r w:rsidR="006D065C">
        <w:rPr>
          <w:rStyle w:val="STANDARD1"/>
          <w:rFonts w:asciiTheme="minorHAnsi" w:hAnsiTheme="minorHAnsi" w:cs="Arial"/>
          <w:spacing w:val="-3"/>
          <w:kern w:val="2"/>
          <w:sz w:val="24"/>
          <w:szCs w:val="24"/>
        </w:rPr>
        <w:t xml:space="preserve">plc </w:t>
      </w:r>
      <w:r w:rsidR="00B1587C" w:rsidRPr="002B2821">
        <w:rPr>
          <w:rStyle w:val="STANDARD1"/>
          <w:rFonts w:asciiTheme="minorHAnsi" w:hAnsiTheme="minorHAnsi" w:cs="Arial"/>
          <w:spacing w:val="-3"/>
          <w:kern w:val="2"/>
          <w:sz w:val="24"/>
          <w:szCs w:val="24"/>
        </w:rPr>
        <w:t xml:space="preserve">and its predecessors, the </w:t>
      </w:r>
      <w:r w:rsidR="00D018AE">
        <w:rPr>
          <w:rStyle w:val="STANDARD1"/>
          <w:rFonts w:asciiTheme="minorHAnsi" w:hAnsiTheme="minorHAnsi" w:cs="Arial"/>
          <w:spacing w:val="-3"/>
          <w:kern w:val="2"/>
          <w:sz w:val="24"/>
          <w:szCs w:val="24"/>
        </w:rPr>
        <w:t xml:space="preserve">Health and Social Care Departments in </w:t>
      </w:r>
      <w:r w:rsidR="00D018AE" w:rsidRPr="002B2821">
        <w:rPr>
          <w:rStyle w:val="STANDARD1"/>
          <w:rFonts w:asciiTheme="minorHAnsi" w:hAnsiTheme="minorHAnsi" w:cs="Arial"/>
          <w:spacing w:val="-3"/>
          <w:kern w:val="2"/>
          <w:sz w:val="24"/>
          <w:szCs w:val="24"/>
        </w:rPr>
        <w:t>England, Scotland, Wales and Northern Ireland</w:t>
      </w:r>
      <w:r w:rsidR="0086168B">
        <w:rPr>
          <w:rStyle w:val="STANDARD1"/>
          <w:rFonts w:asciiTheme="minorHAnsi" w:hAnsiTheme="minorHAnsi" w:cs="Arial"/>
          <w:spacing w:val="-3"/>
          <w:kern w:val="2"/>
          <w:sz w:val="24"/>
          <w:szCs w:val="24"/>
        </w:rPr>
        <w:t>,</w:t>
      </w:r>
      <w:r w:rsidR="00D018AE" w:rsidRPr="002B2821">
        <w:rPr>
          <w:rStyle w:val="STANDARD1"/>
          <w:rFonts w:asciiTheme="minorHAnsi" w:hAnsiTheme="minorHAnsi" w:cs="Arial"/>
          <w:spacing w:val="-3"/>
          <w:kern w:val="2"/>
          <w:sz w:val="24"/>
          <w:szCs w:val="24"/>
        </w:rPr>
        <w:t xml:space="preserve"> </w:t>
      </w:r>
      <w:r w:rsidR="00B1587C" w:rsidRPr="002B2821">
        <w:rPr>
          <w:rStyle w:val="STANDARD1"/>
          <w:rFonts w:asciiTheme="minorHAnsi" w:hAnsiTheme="minorHAnsi" w:cs="Arial"/>
          <w:spacing w:val="-3"/>
          <w:kern w:val="2"/>
          <w:sz w:val="24"/>
          <w:szCs w:val="24"/>
        </w:rPr>
        <w:t>and investment returns.</w:t>
      </w:r>
    </w:p>
    <w:p w14:paraId="330AAA24" w14:textId="49C0D164" w:rsidR="002F7105" w:rsidRPr="002B2821" w:rsidRDefault="002F7105" w:rsidP="00096730">
      <w:pPr>
        <w:tabs>
          <w:tab w:val="left" w:pos="0"/>
          <w:tab w:val="left" w:pos="720"/>
          <w:tab w:val="decimal" w:pos="3918"/>
          <w:tab w:val="decimal" w:pos="5792"/>
          <w:tab w:val="decimal" w:pos="7242"/>
          <w:tab w:val="decimal" w:pos="8667"/>
        </w:tabs>
        <w:suppressAutoHyphens/>
        <w:spacing w:after="180" w:line="240" w:lineRule="auto"/>
        <w:rPr>
          <w:rStyle w:val="STANDARD1"/>
          <w:rFonts w:asciiTheme="minorHAnsi" w:hAnsiTheme="minorHAnsi" w:cs="Arial"/>
          <w:color w:val="442359"/>
          <w:spacing w:val="-3"/>
          <w:kern w:val="2"/>
          <w:sz w:val="24"/>
          <w:szCs w:val="24"/>
        </w:rPr>
      </w:pPr>
      <w:r w:rsidRPr="002B2821">
        <w:rPr>
          <w:rStyle w:val="STANDARD1"/>
          <w:rFonts w:asciiTheme="minorHAnsi" w:hAnsiTheme="minorHAnsi" w:cs="Arial"/>
          <w:color w:val="442359"/>
          <w:spacing w:val="-3"/>
          <w:kern w:val="2"/>
          <w:sz w:val="24"/>
          <w:szCs w:val="24"/>
        </w:rPr>
        <w:t>Restricted Funds</w:t>
      </w:r>
    </w:p>
    <w:p w14:paraId="3B2DEBF0" w14:textId="77777777" w:rsidR="002F7105" w:rsidRDefault="002F7105" w:rsidP="00096730">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z w:val="24"/>
          <w:szCs w:val="24"/>
        </w:rPr>
      </w:pPr>
      <w:r w:rsidRPr="002B2821">
        <w:rPr>
          <w:rFonts w:asciiTheme="minorHAnsi" w:hAnsiTheme="minorHAnsi" w:cs="Arial"/>
          <w:sz w:val="24"/>
          <w:szCs w:val="24"/>
        </w:rPr>
        <w:t>Restricted income funds are funds whose use is restricted to specific purposes according to the terms on which the funds were received. Where income is received for purposes specified by the donor that income is shown as restricted in the Statement of Financial Activities. Expenditure for the specified purposes is shown as restricted expenditure. Any unexpended balance at the balance sheet date is carried forward as a restricted income fund.</w:t>
      </w:r>
    </w:p>
    <w:p w14:paraId="5263AE41" w14:textId="77777777" w:rsidR="00F80DAF" w:rsidRDefault="00F80DAF" w:rsidP="00E540A0">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z w:val="24"/>
          <w:szCs w:val="24"/>
        </w:rPr>
      </w:pPr>
    </w:p>
    <w:p w14:paraId="5520CDC1" w14:textId="77777777" w:rsidR="00F80DAF" w:rsidRPr="002B2821" w:rsidRDefault="00F80DAF" w:rsidP="00E540A0">
      <w:pPr>
        <w:tabs>
          <w:tab w:val="left" w:pos="0"/>
          <w:tab w:val="left" w:pos="720"/>
          <w:tab w:val="decimal" w:pos="3918"/>
          <w:tab w:val="decimal" w:pos="5792"/>
          <w:tab w:val="decimal" w:pos="7242"/>
          <w:tab w:val="decimal" w:pos="8667"/>
        </w:tabs>
        <w:suppressAutoHyphens/>
        <w:spacing w:after="180" w:line="240" w:lineRule="auto"/>
        <w:rPr>
          <w:rStyle w:val="STANDARD1"/>
          <w:rFonts w:asciiTheme="minorHAnsi" w:hAnsiTheme="minorHAnsi" w:cs="Arial"/>
          <w:spacing w:val="-3"/>
          <w:kern w:val="2"/>
          <w:sz w:val="24"/>
          <w:szCs w:val="24"/>
        </w:rPr>
      </w:pPr>
    </w:p>
    <w:p w14:paraId="431B0F48" w14:textId="77777777" w:rsidR="00F80DAF" w:rsidRDefault="00F80DAF" w:rsidP="00E540A0">
      <w:pPr>
        <w:tabs>
          <w:tab w:val="left" w:pos="0"/>
          <w:tab w:val="left" w:pos="720"/>
          <w:tab w:val="decimal" w:pos="3918"/>
          <w:tab w:val="decimal" w:pos="5792"/>
          <w:tab w:val="decimal" w:pos="7242"/>
          <w:tab w:val="decimal" w:pos="8667"/>
        </w:tabs>
        <w:suppressAutoHyphens/>
        <w:spacing w:before="240" w:after="24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Notes to the financial statements for the year ended 30 September 2018 (continued)</w:t>
      </w:r>
    </w:p>
    <w:p w14:paraId="487E866C" w14:textId="77777777" w:rsidR="00F80DAF" w:rsidRPr="002B2821" w:rsidRDefault="00F80DAF" w:rsidP="00F80DAF">
      <w:pPr>
        <w:tabs>
          <w:tab w:val="left" w:pos="0"/>
          <w:tab w:val="left" w:pos="720"/>
          <w:tab w:val="left" w:pos="1440"/>
          <w:tab w:val="left" w:pos="4992"/>
          <w:tab w:val="decimal" w:pos="5845"/>
          <w:tab w:val="decimal" w:pos="7256"/>
          <w:tab w:val="decimal" w:pos="8667"/>
        </w:tabs>
        <w:suppressAutoHyphens/>
        <w:spacing w:before="100" w:beforeAutospacing="1" w:after="100" w:afterAutospacing="1" w:line="240" w:lineRule="auto"/>
        <w:rPr>
          <w:rFonts w:asciiTheme="minorHAnsi" w:hAnsiTheme="minorHAnsi" w:cs="Arial"/>
          <w:b/>
          <w:color w:val="442359"/>
          <w:spacing w:val="-3"/>
          <w:kern w:val="2"/>
          <w:sz w:val="24"/>
          <w:szCs w:val="24"/>
        </w:rPr>
      </w:pPr>
      <w:r w:rsidRPr="002B2821">
        <w:rPr>
          <w:rFonts w:asciiTheme="minorHAnsi" w:hAnsiTheme="minorHAnsi" w:cs="Arial"/>
          <w:b/>
          <w:color w:val="442359"/>
          <w:sz w:val="24"/>
          <w:szCs w:val="24"/>
        </w:rPr>
        <w:t>1      Accounting policies (continued)</w:t>
      </w:r>
    </w:p>
    <w:p w14:paraId="6BC12D40" w14:textId="6775E8A8" w:rsidR="002F7105" w:rsidRPr="002B2821" w:rsidRDefault="002F7105" w:rsidP="00096730">
      <w:pPr>
        <w:tabs>
          <w:tab w:val="left" w:pos="0"/>
          <w:tab w:val="left" w:pos="720"/>
          <w:tab w:val="decimal" w:pos="3918"/>
          <w:tab w:val="decimal" w:pos="5792"/>
          <w:tab w:val="decimal" w:pos="7242"/>
          <w:tab w:val="decimal" w:pos="8667"/>
        </w:tabs>
        <w:suppressAutoHyphens/>
        <w:spacing w:before="240" w:after="240" w:line="240" w:lineRule="auto"/>
        <w:rPr>
          <w:rStyle w:val="STANDARD1"/>
          <w:rFonts w:asciiTheme="minorHAnsi" w:hAnsiTheme="minorHAnsi" w:cs="Arial"/>
          <w:spacing w:val="-3"/>
          <w:kern w:val="2"/>
          <w:sz w:val="24"/>
          <w:szCs w:val="24"/>
        </w:rPr>
      </w:pPr>
      <w:r w:rsidRPr="002B2821">
        <w:rPr>
          <w:rStyle w:val="STANDARD1"/>
          <w:rFonts w:asciiTheme="minorHAnsi" w:hAnsiTheme="minorHAnsi" w:cs="Arial"/>
          <w:spacing w:val="-3"/>
          <w:kern w:val="2"/>
          <w:sz w:val="24"/>
          <w:szCs w:val="24"/>
        </w:rPr>
        <w:t xml:space="preserve">Restricted Funds are derived from the </w:t>
      </w:r>
      <w:r w:rsidR="000B0A47">
        <w:rPr>
          <w:rStyle w:val="STANDARD1"/>
          <w:rFonts w:asciiTheme="minorHAnsi" w:hAnsiTheme="minorHAnsi" w:cs="Arial"/>
          <w:spacing w:val="-3"/>
          <w:kern w:val="2"/>
          <w:sz w:val="24"/>
          <w:szCs w:val="24"/>
        </w:rPr>
        <w:t xml:space="preserve">Health and Social Care Departments in </w:t>
      </w:r>
      <w:r w:rsidR="000B0A47" w:rsidRPr="002B2821">
        <w:rPr>
          <w:rStyle w:val="STANDARD1"/>
          <w:rFonts w:asciiTheme="minorHAnsi" w:hAnsiTheme="minorHAnsi" w:cs="Arial"/>
          <w:spacing w:val="-3"/>
          <w:kern w:val="2"/>
          <w:sz w:val="24"/>
          <w:szCs w:val="24"/>
        </w:rPr>
        <w:t xml:space="preserve">England, Scotland, Wales and Northern Ireland </w:t>
      </w:r>
      <w:r w:rsidRPr="002B2821">
        <w:rPr>
          <w:rStyle w:val="STANDARD1"/>
          <w:rFonts w:asciiTheme="minorHAnsi" w:hAnsiTheme="minorHAnsi" w:cs="Arial"/>
          <w:spacing w:val="-3"/>
          <w:kern w:val="2"/>
          <w:sz w:val="24"/>
          <w:szCs w:val="24"/>
        </w:rPr>
        <w:t xml:space="preserve">as detailed in note 5. </w:t>
      </w:r>
    </w:p>
    <w:p w14:paraId="6CF1F2FF" w14:textId="77777777" w:rsidR="00711DC7" w:rsidRPr="002B2821" w:rsidRDefault="00711DC7" w:rsidP="00096730">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color w:val="0000FF"/>
          <w:spacing w:val="-3"/>
          <w:kern w:val="2"/>
          <w:sz w:val="24"/>
          <w:szCs w:val="24"/>
        </w:rPr>
      </w:pPr>
      <w:r w:rsidRPr="002B2821">
        <w:rPr>
          <w:rFonts w:asciiTheme="minorHAnsi" w:hAnsiTheme="minorHAnsi" w:cs="Arial"/>
          <w:b/>
          <w:color w:val="442359"/>
          <w:spacing w:val="-3"/>
          <w:kern w:val="2"/>
          <w:sz w:val="24"/>
          <w:szCs w:val="24"/>
        </w:rPr>
        <w:t>Tangible fixed assets</w:t>
      </w:r>
    </w:p>
    <w:p w14:paraId="5D642A8C" w14:textId="15FD4A03" w:rsidR="00CE2BCA" w:rsidRPr="000E7AE0" w:rsidRDefault="00CE2BCA" w:rsidP="00096730">
      <w:pPr>
        <w:tabs>
          <w:tab w:val="left" w:pos="0"/>
          <w:tab w:val="left" w:pos="720"/>
          <w:tab w:val="decimal" w:pos="3918"/>
          <w:tab w:val="decimal" w:pos="5792"/>
          <w:tab w:val="decimal" w:pos="7242"/>
          <w:tab w:val="decimal" w:pos="8667"/>
        </w:tabs>
        <w:suppressAutoHyphens/>
        <w:spacing w:after="180" w:line="240" w:lineRule="auto"/>
        <w:rPr>
          <w:rFonts w:asciiTheme="minorHAnsi" w:hAnsiTheme="minorHAnsi" w:cs="Arial"/>
          <w:sz w:val="24"/>
          <w:szCs w:val="24"/>
        </w:rPr>
      </w:pPr>
      <w:r w:rsidRPr="00234534">
        <w:rPr>
          <w:rFonts w:asciiTheme="minorHAnsi" w:hAnsiTheme="minorHAnsi" w:cstheme="minorHAnsi"/>
          <w:sz w:val="24"/>
          <w:szCs w:val="24"/>
        </w:rPr>
        <w:t xml:space="preserve">As an </w:t>
      </w:r>
      <w:r w:rsidRPr="00C64D7F">
        <w:rPr>
          <w:rFonts w:asciiTheme="minorHAnsi" w:hAnsiTheme="minorHAnsi" w:cstheme="minorHAnsi"/>
          <w:sz w:val="24"/>
          <w:szCs w:val="24"/>
        </w:rPr>
        <w:t>unincorporated</w:t>
      </w:r>
      <w:r w:rsidRPr="000E7AE0">
        <w:rPr>
          <w:rFonts w:asciiTheme="minorHAnsi" w:hAnsiTheme="minorHAnsi" w:cs="Arial"/>
          <w:sz w:val="24"/>
          <w:szCs w:val="24"/>
        </w:rPr>
        <w:t xml:space="preserve"> association, the Trust is not able to hold property in its own name.  In </w:t>
      </w:r>
      <w:r w:rsidR="00EA1D8F" w:rsidRPr="000E7AE0">
        <w:rPr>
          <w:rFonts w:asciiTheme="minorHAnsi" w:hAnsiTheme="minorHAnsi" w:cs="Arial"/>
          <w:sz w:val="24"/>
          <w:szCs w:val="24"/>
        </w:rPr>
        <w:t>pr</w:t>
      </w:r>
      <w:r w:rsidR="00EA1D8F">
        <w:rPr>
          <w:rFonts w:asciiTheme="minorHAnsi" w:hAnsiTheme="minorHAnsi" w:cs="Arial"/>
          <w:sz w:val="24"/>
          <w:szCs w:val="24"/>
        </w:rPr>
        <w:t>ior</w:t>
      </w:r>
      <w:r w:rsidR="00B7013C" w:rsidRPr="000E7AE0">
        <w:rPr>
          <w:rFonts w:asciiTheme="minorHAnsi" w:hAnsiTheme="minorHAnsi" w:cs="Arial"/>
          <w:sz w:val="24"/>
          <w:szCs w:val="24"/>
        </w:rPr>
        <w:t xml:space="preserve"> </w:t>
      </w:r>
      <w:r w:rsidRPr="000E7AE0">
        <w:rPr>
          <w:rFonts w:asciiTheme="minorHAnsi" w:hAnsiTheme="minorHAnsi" w:cs="Arial"/>
          <w:sz w:val="24"/>
          <w:szCs w:val="24"/>
        </w:rPr>
        <w:t>yea</w:t>
      </w:r>
      <w:r w:rsidR="00B7013C" w:rsidRPr="000E7AE0">
        <w:rPr>
          <w:rFonts w:asciiTheme="minorHAnsi" w:hAnsiTheme="minorHAnsi" w:cs="Arial"/>
          <w:sz w:val="24"/>
          <w:szCs w:val="24"/>
        </w:rPr>
        <w:t>rs</w:t>
      </w:r>
      <w:r w:rsidR="00EA1D8F">
        <w:rPr>
          <w:rFonts w:asciiTheme="minorHAnsi" w:hAnsiTheme="minorHAnsi" w:cs="Arial"/>
          <w:sz w:val="24"/>
          <w:szCs w:val="24"/>
        </w:rPr>
        <w:t>,</w:t>
      </w:r>
      <w:r w:rsidRPr="000E7AE0">
        <w:rPr>
          <w:rFonts w:asciiTheme="minorHAnsi" w:hAnsiTheme="minorHAnsi" w:cs="Arial"/>
          <w:sz w:val="24"/>
          <w:szCs w:val="24"/>
        </w:rPr>
        <w:t xml:space="preserve"> the </w:t>
      </w:r>
      <w:r w:rsidR="00B7013C" w:rsidRPr="000E7AE0">
        <w:rPr>
          <w:rFonts w:asciiTheme="minorHAnsi" w:hAnsiTheme="minorHAnsi" w:cs="Arial"/>
          <w:sz w:val="24"/>
          <w:szCs w:val="24"/>
        </w:rPr>
        <w:t>property</w:t>
      </w:r>
      <w:r w:rsidRPr="000E7AE0">
        <w:rPr>
          <w:rFonts w:asciiTheme="minorHAnsi" w:hAnsiTheme="minorHAnsi" w:cs="Arial"/>
          <w:sz w:val="24"/>
          <w:szCs w:val="24"/>
        </w:rPr>
        <w:t xml:space="preserve"> was held in the name</w:t>
      </w:r>
      <w:r w:rsidR="00EA1D8F">
        <w:rPr>
          <w:rFonts w:asciiTheme="minorHAnsi" w:hAnsiTheme="minorHAnsi" w:cs="Arial"/>
          <w:sz w:val="24"/>
          <w:szCs w:val="24"/>
        </w:rPr>
        <w:t>s</w:t>
      </w:r>
      <w:r w:rsidRPr="000E7AE0">
        <w:rPr>
          <w:rFonts w:asciiTheme="minorHAnsi" w:hAnsiTheme="minorHAnsi" w:cs="Arial"/>
          <w:sz w:val="24"/>
          <w:szCs w:val="24"/>
        </w:rPr>
        <w:t xml:space="preserve"> of the </w:t>
      </w:r>
      <w:r w:rsidR="00B7013C" w:rsidRPr="000E7AE0">
        <w:rPr>
          <w:rFonts w:asciiTheme="minorHAnsi" w:hAnsiTheme="minorHAnsi" w:cs="Arial"/>
          <w:sz w:val="24"/>
          <w:szCs w:val="24"/>
        </w:rPr>
        <w:t>individual trus</w:t>
      </w:r>
      <w:r w:rsidRPr="000E7AE0">
        <w:rPr>
          <w:rFonts w:asciiTheme="minorHAnsi" w:hAnsiTheme="minorHAnsi" w:cs="Arial"/>
          <w:sz w:val="24"/>
          <w:szCs w:val="24"/>
        </w:rPr>
        <w:t>te</w:t>
      </w:r>
      <w:r w:rsidR="00B7013C" w:rsidRPr="000E7AE0">
        <w:rPr>
          <w:rFonts w:asciiTheme="minorHAnsi" w:hAnsiTheme="minorHAnsi" w:cs="Arial"/>
          <w:sz w:val="24"/>
          <w:szCs w:val="24"/>
        </w:rPr>
        <w:t>e</w:t>
      </w:r>
      <w:r w:rsidRPr="000E7AE0">
        <w:rPr>
          <w:rFonts w:asciiTheme="minorHAnsi" w:hAnsiTheme="minorHAnsi" w:cs="Arial"/>
          <w:sz w:val="24"/>
          <w:szCs w:val="24"/>
        </w:rPr>
        <w:t>s</w:t>
      </w:r>
      <w:r w:rsidR="00EA1D8F">
        <w:rPr>
          <w:rFonts w:asciiTheme="minorHAnsi" w:hAnsiTheme="minorHAnsi" w:cs="Arial"/>
          <w:sz w:val="24"/>
          <w:szCs w:val="24"/>
        </w:rPr>
        <w:t xml:space="preserve">.  </w:t>
      </w:r>
      <w:r w:rsidR="00EA1D8F" w:rsidRPr="00EA1D8F">
        <w:rPr>
          <w:rFonts w:asciiTheme="minorHAnsi" w:hAnsiTheme="minorHAnsi" w:cs="Arial"/>
          <w:sz w:val="24"/>
          <w:szCs w:val="24"/>
        </w:rPr>
        <w:t xml:space="preserve"> I</w:t>
      </w:r>
      <w:r w:rsidRPr="000E7AE0">
        <w:rPr>
          <w:rFonts w:asciiTheme="minorHAnsi" w:hAnsiTheme="minorHAnsi" w:cs="Arial"/>
          <w:sz w:val="24"/>
          <w:szCs w:val="24"/>
        </w:rPr>
        <w:t xml:space="preserve">n January 2018, </w:t>
      </w:r>
      <w:r w:rsidR="00B7013C" w:rsidRPr="000E7AE0">
        <w:rPr>
          <w:rFonts w:asciiTheme="minorHAnsi" w:hAnsiTheme="minorHAnsi" w:cs="Arial"/>
          <w:sz w:val="24"/>
          <w:szCs w:val="24"/>
        </w:rPr>
        <w:t>following the</w:t>
      </w:r>
      <w:r w:rsidRPr="000E7AE0">
        <w:rPr>
          <w:rFonts w:asciiTheme="minorHAnsi" w:hAnsiTheme="minorHAnsi" w:cs="Arial"/>
          <w:sz w:val="24"/>
          <w:szCs w:val="24"/>
        </w:rPr>
        <w:t xml:space="preserve"> establishment of the sole corporate trustee, the Thalidomide Trust Company, title </w:t>
      </w:r>
      <w:r w:rsidR="00B7013C" w:rsidRPr="000E7AE0">
        <w:rPr>
          <w:rFonts w:asciiTheme="minorHAnsi" w:hAnsiTheme="minorHAnsi" w:cs="Arial"/>
          <w:sz w:val="24"/>
          <w:szCs w:val="24"/>
        </w:rPr>
        <w:t xml:space="preserve">for the property </w:t>
      </w:r>
      <w:r w:rsidR="00EA1D8F" w:rsidRPr="000E7AE0">
        <w:rPr>
          <w:rFonts w:asciiTheme="minorHAnsi" w:hAnsiTheme="minorHAnsi" w:cs="Arial"/>
          <w:sz w:val="24"/>
          <w:szCs w:val="24"/>
        </w:rPr>
        <w:t>transferred</w:t>
      </w:r>
      <w:r w:rsidRPr="000E7AE0">
        <w:rPr>
          <w:rFonts w:asciiTheme="minorHAnsi" w:hAnsiTheme="minorHAnsi" w:cs="Arial"/>
          <w:sz w:val="24"/>
          <w:szCs w:val="24"/>
        </w:rPr>
        <w:t xml:space="preserve"> to the Thalidomide Trust Company.  </w:t>
      </w:r>
      <w:r w:rsidR="00EA1D8F" w:rsidRPr="000E7AE0">
        <w:rPr>
          <w:rFonts w:asciiTheme="minorHAnsi" w:hAnsiTheme="minorHAnsi" w:cs="Arial"/>
          <w:sz w:val="24"/>
          <w:szCs w:val="24"/>
        </w:rPr>
        <w:t>Beneficial</w:t>
      </w:r>
      <w:r w:rsidRPr="000E7AE0">
        <w:rPr>
          <w:rFonts w:asciiTheme="minorHAnsi" w:hAnsiTheme="minorHAnsi" w:cs="Arial"/>
          <w:sz w:val="24"/>
          <w:szCs w:val="24"/>
        </w:rPr>
        <w:t xml:space="preserve"> ownership</w:t>
      </w:r>
      <w:r w:rsidR="00DD7A47">
        <w:rPr>
          <w:rFonts w:asciiTheme="minorHAnsi" w:hAnsiTheme="minorHAnsi" w:cs="Arial"/>
          <w:sz w:val="24"/>
          <w:szCs w:val="24"/>
        </w:rPr>
        <w:t>,</w:t>
      </w:r>
      <w:r w:rsidRPr="000E7AE0">
        <w:rPr>
          <w:rFonts w:asciiTheme="minorHAnsi" w:hAnsiTheme="minorHAnsi" w:cs="Arial"/>
          <w:sz w:val="24"/>
          <w:szCs w:val="24"/>
        </w:rPr>
        <w:t xml:space="preserve"> </w:t>
      </w:r>
      <w:r w:rsidR="00DD7A47">
        <w:rPr>
          <w:rFonts w:asciiTheme="minorHAnsi" w:hAnsiTheme="minorHAnsi" w:cs="Arial"/>
          <w:sz w:val="24"/>
          <w:szCs w:val="24"/>
        </w:rPr>
        <w:t xml:space="preserve">and in substance control, </w:t>
      </w:r>
      <w:r w:rsidR="00EA1D8F" w:rsidRPr="000E7AE0">
        <w:rPr>
          <w:rFonts w:asciiTheme="minorHAnsi" w:hAnsiTheme="minorHAnsi" w:cs="Arial"/>
          <w:sz w:val="24"/>
          <w:szCs w:val="24"/>
        </w:rPr>
        <w:t>remains</w:t>
      </w:r>
      <w:r w:rsidRPr="000E7AE0">
        <w:rPr>
          <w:rFonts w:asciiTheme="minorHAnsi" w:hAnsiTheme="minorHAnsi" w:cs="Arial"/>
          <w:sz w:val="24"/>
          <w:szCs w:val="24"/>
        </w:rPr>
        <w:t xml:space="preserve"> with the Trust and the </w:t>
      </w:r>
      <w:r w:rsidR="00EA1D8F" w:rsidRPr="000E7AE0">
        <w:rPr>
          <w:rFonts w:asciiTheme="minorHAnsi" w:hAnsiTheme="minorHAnsi" w:cs="Arial"/>
          <w:sz w:val="24"/>
          <w:szCs w:val="24"/>
        </w:rPr>
        <w:t>building</w:t>
      </w:r>
      <w:r w:rsidRPr="000E7AE0">
        <w:rPr>
          <w:rFonts w:asciiTheme="minorHAnsi" w:hAnsiTheme="minorHAnsi" w:cs="Arial"/>
          <w:sz w:val="24"/>
          <w:szCs w:val="24"/>
        </w:rPr>
        <w:t xml:space="preserve"> is </w:t>
      </w:r>
      <w:r w:rsidR="00EA1D8F">
        <w:rPr>
          <w:rFonts w:asciiTheme="minorHAnsi" w:hAnsiTheme="minorHAnsi" w:cs="Arial"/>
          <w:sz w:val="24"/>
          <w:szCs w:val="24"/>
        </w:rPr>
        <w:t xml:space="preserve">therefore </w:t>
      </w:r>
      <w:r w:rsidRPr="000E7AE0">
        <w:rPr>
          <w:rFonts w:asciiTheme="minorHAnsi" w:hAnsiTheme="minorHAnsi" w:cs="Arial"/>
          <w:sz w:val="24"/>
          <w:szCs w:val="24"/>
        </w:rPr>
        <w:t xml:space="preserve">disclosed in the </w:t>
      </w:r>
      <w:r w:rsidR="00EA1D8F" w:rsidRPr="000E7AE0">
        <w:rPr>
          <w:rFonts w:asciiTheme="minorHAnsi" w:hAnsiTheme="minorHAnsi" w:cs="Arial"/>
          <w:sz w:val="24"/>
          <w:szCs w:val="24"/>
        </w:rPr>
        <w:t>financial</w:t>
      </w:r>
      <w:r w:rsidRPr="000E7AE0">
        <w:rPr>
          <w:rFonts w:asciiTheme="minorHAnsi" w:hAnsiTheme="minorHAnsi" w:cs="Arial"/>
          <w:sz w:val="24"/>
          <w:szCs w:val="24"/>
        </w:rPr>
        <w:t xml:space="preserve"> </w:t>
      </w:r>
      <w:r w:rsidR="00EA1D8F" w:rsidRPr="000E7AE0">
        <w:rPr>
          <w:rFonts w:asciiTheme="minorHAnsi" w:hAnsiTheme="minorHAnsi" w:cs="Arial"/>
          <w:sz w:val="24"/>
          <w:szCs w:val="24"/>
        </w:rPr>
        <w:t>statements</w:t>
      </w:r>
      <w:r w:rsidRPr="000E7AE0">
        <w:rPr>
          <w:rFonts w:asciiTheme="minorHAnsi" w:hAnsiTheme="minorHAnsi" w:cs="Arial"/>
          <w:sz w:val="24"/>
          <w:szCs w:val="24"/>
        </w:rPr>
        <w:t xml:space="preserve"> </w:t>
      </w:r>
      <w:r w:rsidR="00EA1D8F" w:rsidRPr="00B467EC">
        <w:rPr>
          <w:rFonts w:asciiTheme="minorHAnsi" w:hAnsiTheme="minorHAnsi" w:cs="Arial"/>
          <w:sz w:val="24"/>
          <w:szCs w:val="24"/>
        </w:rPr>
        <w:t>of the T</w:t>
      </w:r>
      <w:r w:rsidRPr="000E7AE0">
        <w:rPr>
          <w:rFonts w:asciiTheme="minorHAnsi" w:hAnsiTheme="minorHAnsi" w:cs="Arial"/>
          <w:sz w:val="24"/>
          <w:szCs w:val="24"/>
        </w:rPr>
        <w:t xml:space="preserve">rust.   </w:t>
      </w:r>
    </w:p>
    <w:p w14:paraId="19041F7E" w14:textId="1C089700" w:rsidR="00711DC7" w:rsidRPr="002B2821" w:rsidRDefault="00711DC7" w:rsidP="00096730">
      <w:pPr>
        <w:tabs>
          <w:tab w:val="left" w:pos="-1440"/>
          <w:tab w:val="left" w:pos="-720"/>
          <w:tab w:val="right" w:leader="dot" w:pos="0"/>
          <w:tab w:val="left" w:pos="720"/>
          <w:tab w:val="left" w:pos="1440"/>
          <w:tab w:val="left" w:pos="2304"/>
        </w:tabs>
        <w:spacing w:after="180" w:line="240" w:lineRule="auto"/>
        <w:jc w:val="both"/>
        <w:rPr>
          <w:rFonts w:asciiTheme="minorHAnsi" w:hAnsiTheme="minorHAnsi" w:cs="Arial"/>
          <w:spacing w:val="-3"/>
          <w:kern w:val="2"/>
          <w:sz w:val="24"/>
          <w:szCs w:val="24"/>
        </w:rPr>
      </w:pPr>
      <w:r w:rsidRPr="002B2821">
        <w:rPr>
          <w:rStyle w:val="STANDARD1"/>
          <w:rFonts w:asciiTheme="minorHAnsi" w:hAnsiTheme="minorHAnsi" w:cs="Arial"/>
          <w:spacing w:val="-3"/>
          <w:kern w:val="2"/>
          <w:sz w:val="24"/>
          <w:szCs w:val="24"/>
        </w:rPr>
        <w:t xml:space="preserve">The cost of tangible fixed assets is their purchase cost, together with any incidental costs of acquisition. Depreciation is calculated so as to write off the cost of tangible fixed assets on </w:t>
      </w:r>
      <w:r w:rsidRPr="002B2821">
        <w:rPr>
          <w:rFonts w:asciiTheme="minorHAnsi" w:hAnsiTheme="minorHAnsi" w:cs="Arial"/>
          <w:spacing w:val="-3"/>
          <w:kern w:val="2"/>
          <w:sz w:val="24"/>
          <w:szCs w:val="24"/>
        </w:rPr>
        <w:t xml:space="preserve">a straight-line basis over the useful economic lives of the assets concerned.  </w:t>
      </w:r>
    </w:p>
    <w:p w14:paraId="4E38EC2E" w14:textId="77777777" w:rsidR="00B1587C" w:rsidRPr="002B2821" w:rsidRDefault="00B1587C" w:rsidP="00096730">
      <w:pPr>
        <w:tabs>
          <w:tab w:val="left" w:pos="0"/>
          <w:tab w:val="left" w:pos="720"/>
          <w:tab w:val="decimal" w:pos="3918"/>
          <w:tab w:val="decimal" w:pos="5792"/>
          <w:tab w:val="decimal" w:pos="7242"/>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The principal depreciation rates used are as follows:</w:t>
      </w:r>
    </w:p>
    <w:p w14:paraId="78C97E85" w14:textId="77777777" w:rsidR="00B1587C" w:rsidRPr="002B2821" w:rsidRDefault="00B33D1A" w:rsidP="00096730">
      <w:pPr>
        <w:tabs>
          <w:tab w:val="left" w:pos="720"/>
          <w:tab w:val="center" w:pos="4368"/>
          <w:tab w:val="left" w:pos="4992"/>
        </w:tabs>
        <w:suppressAutoHyphens/>
        <w:spacing w:after="12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M</w:t>
      </w:r>
      <w:r w:rsidR="00B1587C" w:rsidRPr="002B2821">
        <w:rPr>
          <w:rFonts w:asciiTheme="minorHAnsi" w:hAnsiTheme="minorHAnsi" w:cs="Arial"/>
          <w:spacing w:val="-3"/>
          <w:kern w:val="2"/>
          <w:sz w:val="24"/>
          <w:szCs w:val="24"/>
        </w:rPr>
        <w:t>otor vehicles</w:t>
      </w:r>
      <w:r w:rsidR="00B1587C" w:rsidRPr="002B2821">
        <w:rPr>
          <w:rFonts w:asciiTheme="minorHAnsi" w:hAnsiTheme="minorHAnsi" w:cs="Arial"/>
          <w:spacing w:val="-3"/>
          <w:kern w:val="2"/>
          <w:sz w:val="24"/>
          <w:szCs w:val="24"/>
        </w:rPr>
        <w:tab/>
        <w:t>-</w:t>
      </w:r>
      <w:r w:rsidR="00B1587C" w:rsidRPr="002B2821">
        <w:rPr>
          <w:rFonts w:asciiTheme="minorHAnsi" w:hAnsiTheme="minorHAnsi" w:cs="Arial"/>
          <w:spacing w:val="-3"/>
          <w:kern w:val="2"/>
          <w:sz w:val="24"/>
          <w:szCs w:val="24"/>
        </w:rPr>
        <w:tab/>
        <w:t>25% per annum</w:t>
      </w:r>
    </w:p>
    <w:p w14:paraId="65079E0A" w14:textId="77777777" w:rsidR="00B1587C" w:rsidRPr="002B2821" w:rsidRDefault="00B1587C" w:rsidP="00096730">
      <w:pPr>
        <w:tabs>
          <w:tab w:val="left" w:pos="720"/>
          <w:tab w:val="center" w:pos="4368"/>
          <w:tab w:val="left" w:pos="4992"/>
        </w:tabs>
        <w:suppressAutoHyphens/>
        <w:spacing w:after="12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Furniture and equipment</w:t>
      </w:r>
      <w:r w:rsidRPr="002B2821">
        <w:rPr>
          <w:rFonts w:asciiTheme="minorHAnsi" w:hAnsiTheme="minorHAnsi" w:cs="Arial"/>
          <w:spacing w:val="-3"/>
          <w:kern w:val="2"/>
          <w:sz w:val="24"/>
          <w:szCs w:val="24"/>
        </w:rPr>
        <w:tab/>
        <w:t>-</w:t>
      </w:r>
      <w:r w:rsidRPr="002B2821">
        <w:rPr>
          <w:rFonts w:asciiTheme="minorHAnsi" w:hAnsiTheme="minorHAnsi" w:cs="Arial"/>
          <w:spacing w:val="-3"/>
          <w:kern w:val="2"/>
          <w:sz w:val="24"/>
          <w:szCs w:val="24"/>
        </w:rPr>
        <w:tab/>
        <w:t>20% per annum</w:t>
      </w:r>
    </w:p>
    <w:p w14:paraId="7046CADC" w14:textId="0D6330CE" w:rsidR="00B1587C" w:rsidRPr="002B2821" w:rsidRDefault="00B1587C" w:rsidP="00096730">
      <w:pPr>
        <w:tabs>
          <w:tab w:val="left" w:pos="720"/>
          <w:tab w:val="center" w:pos="4368"/>
          <w:tab w:val="left" w:pos="4992"/>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 xml:space="preserve">Buildings                                                 </w:t>
      </w:r>
      <w:r w:rsidR="00B33D1A" w:rsidRPr="002B2821">
        <w:rPr>
          <w:rFonts w:asciiTheme="minorHAnsi" w:hAnsiTheme="minorHAnsi" w:cs="Arial"/>
          <w:spacing w:val="-3"/>
          <w:kern w:val="2"/>
          <w:sz w:val="24"/>
          <w:szCs w:val="24"/>
        </w:rPr>
        <w:t xml:space="preserve"> </w:t>
      </w:r>
      <w:r w:rsidR="008A1DB8" w:rsidRPr="002B2821">
        <w:rPr>
          <w:rFonts w:asciiTheme="minorHAnsi" w:hAnsiTheme="minorHAnsi" w:cs="Arial"/>
          <w:spacing w:val="-3"/>
          <w:kern w:val="2"/>
          <w:sz w:val="24"/>
          <w:szCs w:val="24"/>
        </w:rPr>
        <w:t xml:space="preserve"> </w:t>
      </w:r>
      <w:r w:rsidR="004D42FA" w:rsidRPr="002B2821">
        <w:rPr>
          <w:rFonts w:asciiTheme="minorHAnsi" w:hAnsiTheme="minorHAnsi" w:cs="Arial"/>
          <w:spacing w:val="-3"/>
          <w:kern w:val="2"/>
          <w:sz w:val="24"/>
          <w:szCs w:val="24"/>
        </w:rPr>
        <w:t xml:space="preserve"> </w:t>
      </w:r>
      <w:r w:rsidR="00894550" w:rsidRPr="002B2821">
        <w:rPr>
          <w:rFonts w:asciiTheme="minorHAnsi" w:hAnsiTheme="minorHAnsi" w:cs="Arial"/>
          <w:spacing w:val="-3"/>
          <w:kern w:val="2"/>
          <w:sz w:val="24"/>
          <w:szCs w:val="24"/>
        </w:rPr>
        <w:t xml:space="preserve">    </w:t>
      </w:r>
      <w:r w:rsidR="00571339" w:rsidRPr="002B2821">
        <w:rPr>
          <w:rFonts w:asciiTheme="minorHAnsi" w:hAnsiTheme="minorHAnsi" w:cs="Arial"/>
          <w:spacing w:val="-3"/>
          <w:kern w:val="2"/>
          <w:sz w:val="24"/>
          <w:szCs w:val="24"/>
        </w:rPr>
        <w:t xml:space="preserve">          </w:t>
      </w:r>
      <w:r w:rsidR="00B33D1A" w:rsidRPr="002B2821">
        <w:rPr>
          <w:rFonts w:asciiTheme="minorHAnsi" w:hAnsiTheme="minorHAnsi" w:cs="Arial"/>
          <w:spacing w:val="-3"/>
          <w:kern w:val="2"/>
          <w:sz w:val="24"/>
          <w:szCs w:val="24"/>
        </w:rPr>
        <w:t xml:space="preserve"> </w:t>
      </w:r>
      <w:r w:rsidRPr="002B2821">
        <w:rPr>
          <w:rFonts w:asciiTheme="minorHAnsi" w:hAnsiTheme="minorHAnsi" w:cs="Arial"/>
          <w:spacing w:val="-3"/>
          <w:kern w:val="2"/>
          <w:sz w:val="24"/>
          <w:szCs w:val="24"/>
        </w:rPr>
        <w:t xml:space="preserve"> -            2% per annum</w:t>
      </w:r>
    </w:p>
    <w:p w14:paraId="66E142F8" w14:textId="77777777" w:rsidR="00B1587C" w:rsidRPr="002B2821" w:rsidRDefault="00B1587C" w:rsidP="00096730">
      <w:pPr>
        <w:tabs>
          <w:tab w:val="left" w:pos="0"/>
          <w:tab w:val="left" w:pos="720"/>
          <w:tab w:val="left" w:pos="1440"/>
          <w:tab w:val="left" w:pos="4992"/>
          <w:tab w:val="decimal" w:pos="5845"/>
          <w:tab w:val="decimal" w:pos="7256"/>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The Trust has a capitalisation threshold of £</w:t>
      </w:r>
      <w:r w:rsidR="00AD493F" w:rsidRPr="002B2821">
        <w:rPr>
          <w:rFonts w:asciiTheme="minorHAnsi" w:hAnsiTheme="minorHAnsi" w:cs="Arial"/>
          <w:spacing w:val="-3"/>
          <w:kern w:val="2"/>
          <w:sz w:val="24"/>
          <w:szCs w:val="24"/>
        </w:rPr>
        <w:t>2,500</w:t>
      </w:r>
      <w:r w:rsidRPr="002B2821">
        <w:rPr>
          <w:rFonts w:asciiTheme="minorHAnsi" w:hAnsiTheme="minorHAnsi" w:cs="Arial"/>
          <w:spacing w:val="-3"/>
          <w:kern w:val="2"/>
          <w:sz w:val="24"/>
          <w:szCs w:val="24"/>
        </w:rPr>
        <w:t>.</w:t>
      </w:r>
    </w:p>
    <w:p w14:paraId="6AD31768" w14:textId="77777777" w:rsidR="00B1587C" w:rsidRPr="002B2821" w:rsidRDefault="00F059AB" w:rsidP="00096730">
      <w:pPr>
        <w:tabs>
          <w:tab w:val="left" w:pos="0"/>
          <w:tab w:val="left" w:pos="720"/>
          <w:tab w:val="left" w:pos="1440"/>
          <w:tab w:val="left" w:pos="4992"/>
          <w:tab w:val="decimal" w:pos="5845"/>
          <w:tab w:val="decimal" w:pos="7256"/>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Tangible f</w:t>
      </w:r>
      <w:r w:rsidR="00B1587C" w:rsidRPr="002B2821">
        <w:rPr>
          <w:rFonts w:asciiTheme="minorHAnsi" w:hAnsiTheme="minorHAnsi" w:cs="Arial"/>
          <w:spacing w:val="-3"/>
          <w:kern w:val="2"/>
          <w:sz w:val="24"/>
          <w:szCs w:val="24"/>
        </w:rPr>
        <w:t xml:space="preserve">ixed assets are written down to their realisable value if it is considered there has been a permanent diminution in their value. </w:t>
      </w:r>
    </w:p>
    <w:p w14:paraId="3F35DF87" w14:textId="77777777" w:rsidR="00B1587C" w:rsidRPr="002B2821" w:rsidRDefault="00B1587C" w:rsidP="00096730">
      <w:pPr>
        <w:tabs>
          <w:tab w:val="left" w:pos="0"/>
          <w:tab w:val="left" w:pos="720"/>
          <w:tab w:val="left" w:pos="1440"/>
          <w:tab w:val="left" w:pos="4992"/>
          <w:tab w:val="decimal" w:pos="5845"/>
          <w:tab w:val="decimal" w:pos="7256"/>
          <w:tab w:val="decimal" w:pos="8667"/>
        </w:tabs>
        <w:suppressAutoHyphens/>
        <w:spacing w:after="180" w:line="240" w:lineRule="auto"/>
        <w:jc w:val="both"/>
        <w:rPr>
          <w:rFonts w:asciiTheme="minorHAnsi" w:hAnsiTheme="minorHAnsi" w:cs="Arial"/>
          <w:color w:val="442359"/>
          <w:spacing w:val="-3"/>
          <w:kern w:val="2"/>
          <w:sz w:val="24"/>
          <w:szCs w:val="24"/>
        </w:rPr>
      </w:pPr>
      <w:r w:rsidRPr="002B2821">
        <w:rPr>
          <w:rFonts w:asciiTheme="minorHAnsi" w:hAnsiTheme="minorHAnsi" w:cs="Arial"/>
          <w:b/>
          <w:color w:val="442359"/>
          <w:spacing w:val="-3"/>
          <w:kern w:val="2"/>
          <w:sz w:val="24"/>
          <w:szCs w:val="24"/>
        </w:rPr>
        <w:t>Investments</w:t>
      </w:r>
    </w:p>
    <w:p w14:paraId="10CD0381" w14:textId="77777777" w:rsidR="00B1587C" w:rsidRPr="002B2821" w:rsidRDefault="00B1587C" w:rsidP="00096730">
      <w:pPr>
        <w:tabs>
          <w:tab w:val="left" w:pos="0"/>
          <w:tab w:val="left" w:pos="720"/>
          <w:tab w:val="left" w:pos="1440"/>
          <w:tab w:val="left" w:pos="4992"/>
          <w:tab w:val="decimal" w:pos="5845"/>
          <w:tab w:val="decimal" w:pos="7256"/>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 xml:space="preserve">Investments are stated at market value as quoted on the relevant Stock Exchange at close of business on the last working day </w:t>
      </w:r>
      <w:r w:rsidR="00EB30D4" w:rsidRPr="002B2821">
        <w:rPr>
          <w:rFonts w:asciiTheme="minorHAnsi" w:hAnsiTheme="minorHAnsi" w:cs="Arial"/>
          <w:spacing w:val="-3"/>
          <w:kern w:val="2"/>
          <w:sz w:val="24"/>
          <w:szCs w:val="24"/>
        </w:rPr>
        <w:t>before</w:t>
      </w:r>
      <w:r w:rsidRPr="002B2821">
        <w:rPr>
          <w:rFonts w:asciiTheme="minorHAnsi" w:hAnsiTheme="minorHAnsi" w:cs="Arial"/>
          <w:spacing w:val="-3"/>
          <w:kern w:val="2"/>
          <w:sz w:val="24"/>
          <w:szCs w:val="24"/>
        </w:rPr>
        <w:t xml:space="preserve"> the </w:t>
      </w:r>
      <w:r w:rsidR="00EB30D4" w:rsidRPr="002B2821">
        <w:rPr>
          <w:rFonts w:asciiTheme="minorHAnsi" w:hAnsiTheme="minorHAnsi" w:cs="Arial"/>
          <w:spacing w:val="-3"/>
          <w:kern w:val="2"/>
          <w:sz w:val="24"/>
          <w:szCs w:val="24"/>
        </w:rPr>
        <w:t xml:space="preserve">year </w:t>
      </w:r>
      <w:r w:rsidRPr="002B2821">
        <w:rPr>
          <w:rFonts w:asciiTheme="minorHAnsi" w:hAnsiTheme="minorHAnsi" w:cs="Arial"/>
          <w:spacing w:val="-3"/>
          <w:kern w:val="2"/>
          <w:sz w:val="24"/>
          <w:szCs w:val="24"/>
        </w:rPr>
        <w:t>end date. Unquoted unit trust investments are stated at the market value as established by the administrators of the unit trust. Market value is based upon the buying and selling price of the underlying securities in the relevant market with allowances made for cash, accrued income and costs within the unit trust fund.</w:t>
      </w:r>
    </w:p>
    <w:p w14:paraId="41549BD1" w14:textId="77777777" w:rsidR="00F80DAF" w:rsidRDefault="003944E3" w:rsidP="00096730">
      <w:pPr>
        <w:pStyle w:val="NormalWeb"/>
        <w:spacing w:before="0" w:beforeAutospacing="0" w:after="180" w:afterAutospacing="0"/>
        <w:rPr>
          <w:rFonts w:asciiTheme="minorHAnsi" w:hAnsiTheme="minorHAnsi"/>
        </w:rPr>
      </w:pPr>
      <w:r w:rsidRPr="002B2821">
        <w:rPr>
          <w:rFonts w:asciiTheme="minorHAnsi" w:hAnsiTheme="minorHAnsi"/>
        </w:rPr>
        <w:t>Derivatives are initially recognised at transaction value and subsequently measured at their settlement value</w:t>
      </w:r>
      <w:r w:rsidR="00EA1D8F">
        <w:rPr>
          <w:rFonts w:asciiTheme="minorHAnsi" w:hAnsiTheme="minorHAnsi"/>
        </w:rPr>
        <w:t>.</w:t>
      </w:r>
    </w:p>
    <w:p w14:paraId="72E8E1F1" w14:textId="77777777" w:rsidR="00F80DAF" w:rsidRPr="002B2821" w:rsidRDefault="00F80DAF" w:rsidP="00096730">
      <w:pPr>
        <w:tabs>
          <w:tab w:val="left" w:pos="0"/>
          <w:tab w:val="left" w:pos="720"/>
          <w:tab w:val="left" w:pos="1440"/>
          <w:tab w:val="left" w:pos="4992"/>
          <w:tab w:val="decimal" w:pos="5845"/>
          <w:tab w:val="decimal" w:pos="7256"/>
          <w:tab w:val="decimal" w:pos="8667"/>
        </w:tabs>
        <w:suppressAutoHyphens/>
        <w:spacing w:after="180" w:line="240" w:lineRule="auto"/>
        <w:jc w:val="both"/>
        <w:rPr>
          <w:rFonts w:asciiTheme="minorHAnsi" w:hAnsiTheme="minorHAnsi" w:cs="Arial"/>
          <w:color w:val="442359"/>
          <w:spacing w:val="-3"/>
          <w:kern w:val="2"/>
          <w:sz w:val="24"/>
          <w:szCs w:val="24"/>
        </w:rPr>
      </w:pPr>
      <w:r w:rsidRPr="002B2821">
        <w:rPr>
          <w:rFonts w:asciiTheme="minorHAnsi" w:hAnsiTheme="minorHAnsi" w:cs="Arial"/>
          <w:b/>
          <w:color w:val="442359"/>
          <w:spacing w:val="-3"/>
          <w:kern w:val="2"/>
          <w:sz w:val="24"/>
          <w:szCs w:val="24"/>
        </w:rPr>
        <w:t>Income from investments</w:t>
      </w:r>
    </w:p>
    <w:p w14:paraId="6B30DF9F" w14:textId="77777777" w:rsidR="00F80DAF" w:rsidRPr="002B2821" w:rsidRDefault="00F80DAF" w:rsidP="00096730">
      <w:pPr>
        <w:tabs>
          <w:tab w:val="left" w:pos="0"/>
          <w:tab w:val="left" w:pos="720"/>
          <w:tab w:val="left" w:pos="1440"/>
          <w:tab w:val="left" w:pos="4992"/>
          <w:tab w:val="decimal" w:pos="5845"/>
          <w:tab w:val="decimal" w:pos="7256"/>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Income from investments is recognised when its receipt is probable and the amount receivable can be measured reliably. Any realised and unrealised gains and losses on revaluation or disposals are combined in the statement of financial activities.</w:t>
      </w:r>
    </w:p>
    <w:p w14:paraId="06A15204" w14:textId="77777777" w:rsidR="00F80DAF" w:rsidRPr="002B2821" w:rsidRDefault="00F80DAF" w:rsidP="00096730">
      <w:pPr>
        <w:tabs>
          <w:tab w:val="left" w:pos="0"/>
          <w:tab w:val="left" w:pos="720"/>
          <w:tab w:val="left" w:pos="1440"/>
          <w:tab w:val="left" w:pos="4992"/>
          <w:tab w:val="decimal" w:pos="5845"/>
          <w:tab w:val="decimal" w:pos="7256"/>
          <w:tab w:val="decimal" w:pos="8667"/>
        </w:tabs>
        <w:suppressAutoHyphens/>
        <w:spacing w:after="180" w:line="240" w:lineRule="auto"/>
        <w:rPr>
          <w:rFonts w:asciiTheme="minorHAnsi" w:hAnsiTheme="minorHAnsi" w:cs="Arial"/>
          <w:color w:val="442359"/>
          <w:spacing w:val="-3"/>
          <w:kern w:val="2"/>
          <w:sz w:val="24"/>
          <w:szCs w:val="24"/>
        </w:rPr>
      </w:pPr>
      <w:r w:rsidRPr="002B2821">
        <w:rPr>
          <w:rFonts w:asciiTheme="minorHAnsi" w:hAnsiTheme="minorHAnsi" w:cs="Arial"/>
          <w:b/>
          <w:color w:val="442359"/>
          <w:spacing w:val="-3"/>
          <w:kern w:val="2"/>
          <w:sz w:val="24"/>
          <w:szCs w:val="24"/>
        </w:rPr>
        <w:t>Other incoming resources</w:t>
      </w:r>
    </w:p>
    <w:p w14:paraId="75D4108F" w14:textId="77777777" w:rsidR="00F80DAF" w:rsidRPr="002B2821" w:rsidRDefault="00F80DAF" w:rsidP="00096730">
      <w:pPr>
        <w:tabs>
          <w:tab w:val="left" w:pos="0"/>
          <w:tab w:val="left" w:pos="720"/>
          <w:tab w:val="left" w:pos="1440"/>
          <w:tab w:val="left" w:pos="4992"/>
          <w:tab w:val="decimal" w:pos="5845"/>
          <w:tab w:val="decimal" w:pos="7256"/>
          <w:tab w:val="decimal" w:pos="8667"/>
        </w:tabs>
        <w:suppressAutoHyphens/>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Other income consists of fee income charged to beneficiaries, which is recognised upon the issuance of advances on future grants to beneficiaries. These advances are intended to assist with major property, mobility and health related purchases. The fee level is based on the cost to the Trust of making the advances, which includes the loss of income generated by the Trust’s cash and investments as a result of withdrawing the cash to be advanced to the beneficiary.</w:t>
      </w:r>
    </w:p>
    <w:p w14:paraId="39CF540B" w14:textId="77777777" w:rsidR="00D018AE" w:rsidRPr="002B2821" w:rsidRDefault="00D018AE" w:rsidP="00D018AE">
      <w:pPr>
        <w:tabs>
          <w:tab w:val="left" w:pos="0"/>
          <w:tab w:val="left" w:pos="720"/>
          <w:tab w:val="left" w:pos="1440"/>
          <w:tab w:val="left" w:pos="4992"/>
          <w:tab w:val="decimal" w:pos="5845"/>
          <w:tab w:val="decimal" w:pos="7256"/>
          <w:tab w:val="decimal" w:pos="8667"/>
        </w:tabs>
        <w:suppressAutoHyphens/>
        <w:spacing w:before="100" w:beforeAutospacing="1" w:after="100" w:afterAutospacing="1" w:line="240" w:lineRule="auto"/>
        <w:rPr>
          <w:rFonts w:asciiTheme="minorHAnsi" w:hAnsiTheme="minorHAnsi"/>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2018 (continued)</w:t>
      </w:r>
    </w:p>
    <w:p w14:paraId="2902A9EF" w14:textId="77777777" w:rsidR="00D018AE" w:rsidRPr="002B2821" w:rsidRDefault="00D018AE" w:rsidP="00D018AE">
      <w:pPr>
        <w:tabs>
          <w:tab w:val="left" w:pos="0"/>
          <w:tab w:val="left" w:pos="720"/>
          <w:tab w:val="left" w:pos="1440"/>
          <w:tab w:val="left" w:pos="4992"/>
          <w:tab w:val="decimal" w:pos="5845"/>
          <w:tab w:val="decimal" w:pos="7256"/>
          <w:tab w:val="decimal" w:pos="8667"/>
        </w:tabs>
        <w:suppressAutoHyphens/>
        <w:spacing w:before="100" w:beforeAutospacing="1" w:after="100" w:afterAutospacing="1" w:line="240" w:lineRule="auto"/>
        <w:rPr>
          <w:rFonts w:asciiTheme="minorHAnsi" w:hAnsiTheme="minorHAnsi" w:cs="Arial"/>
          <w:b/>
          <w:color w:val="442359"/>
          <w:spacing w:val="-3"/>
          <w:kern w:val="2"/>
          <w:sz w:val="24"/>
          <w:szCs w:val="24"/>
        </w:rPr>
      </w:pPr>
      <w:r w:rsidRPr="002B2821">
        <w:rPr>
          <w:rFonts w:asciiTheme="minorHAnsi" w:hAnsiTheme="minorHAnsi" w:cs="Arial"/>
          <w:b/>
          <w:color w:val="442359"/>
          <w:sz w:val="24"/>
          <w:szCs w:val="24"/>
        </w:rPr>
        <w:t>1      Accounting policies (continued)</w:t>
      </w:r>
    </w:p>
    <w:p w14:paraId="36D5E8B0" w14:textId="77777777" w:rsidR="002F7105" w:rsidRPr="002B2821" w:rsidRDefault="002F7105" w:rsidP="00096730">
      <w:pPr>
        <w:tabs>
          <w:tab w:val="left" w:pos="0"/>
          <w:tab w:val="left" w:pos="720"/>
          <w:tab w:val="left" w:pos="1440"/>
          <w:tab w:val="left" w:pos="4992"/>
          <w:tab w:val="decimal" w:pos="5845"/>
          <w:tab w:val="decimal" w:pos="7256"/>
          <w:tab w:val="decimal" w:pos="8667"/>
        </w:tabs>
        <w:suppressAutoHyphens/>
        <w:spacing w:after="120" w:line="240" w:lineRule="auto"/>
        <w:rPr>
          <w:rFonts w:asciiTheme="minorHAnsi" w:hAnsiTheme="minorHAnsi" w:cs="Arial"/>
          <w:b/>
          <w:color w:val="442359"/>
          <w:spacing w:val="-3"/>
          <w:kern w:val="2"/>
          <w:sz w:val="24"/>
          <w:szCs w:val="24"/>
        </w:rPr>
      </w:pPr>
      <w:r w:rsidRPr="002B2821">
        <w:rPr>
          <w:rFonts w:asciiTheme="minorHAnsi" w:hAnsiTheme="minorHAnsi" w:cs="Arial"/>
          <w:b/>
          <w:color w:val="442359"/>
          <w:spacing w:val="-3"/>
          <w:kern w:val="2"/>
          <w:sz w:val="24"/>
          <w:szCs w:val="24"/>
        </w:rPr>
        <w:t>Income from rent and service charge</w:t>
      </w:r>
    </w:p>
    <w:p w14:paraId="474C8333" w14:textId="77777777" w:rsidR="002F7105" w:rsidRPr="002B2821" w:rsidRDefault="002F7105" w:rsidP="00096730">
      <w:pPr>
        <w:tabs>
          <w:tab w:val="left" w:pos="0"/>
          <w:tab w:val="left" w:pos="720"/>
          <w:tab w:val="left" w:pos="1440"/>
          <w:tab w:val="left" w:pos="4992"/>
          <w:tab w:val="decimal" w:pos="5845"/>
          <w:tab w:val="decimal" w:pos="7256"/>
          <w:tab w:val="decimal" w:pos="8667"/>
        </w:tabs>
        <w:suppressAutoHyphens/>
        <w:spacing w:after="24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Income from rent and service charge is recognised on a straight line basis over the period in which the service is provided.</w:t>
      </w:r>
    </w:p>
    <w:p w14:paraId="5D521E82" w14:textId="663E016D" w:rsidR="00355E08" w:rsidRPr="002B2821" w:rsidRDefault="00355E08" w:rsidP="00096730">
      <w:pPr>
        <w:tabs>
          <w:tab w:val="left" w:pos="0"/>
          <w:tab w:val="left" w:pos="720"/>
          <w:tab w:val="left" w:pos="1440"/>
          <w:tab w:val="left" w:pos="4992"/>
          <w:tab w:val="decimal" w:pos="5845"/>
          <w:tab w:val="decimal" w:pos="7256"/>
          <w:tab w:val="decimal" w:pos="8667"/>
        </w:tabs>
        <w:suppressAutoHyphens/>
        <w:spacing w:after="120" w:line="240" w:lineRule="auto"/>
        <w:rPr>
          <w:rFonts w:asciiTheme="minorHAnsi" w:hAnsiTheme="minorHAnsi" w:cs="Arial"/>
          <w:b/>
          <w:color w:val="442359"/>
          <w:spacing w:val="-3"/>
          <w:kern w:val="2"/>
          <w:sz w:val="24"/>
          <w:szCs w:val="24"/>
        </w:rPr>
      </w:pPr>
      <w:r w:rsidRPr="002B2821">
        <w:rPr>
          <w:rFonts w:asciiTheme="minorHAnsi" w:hAnsiTheme="minorHAnsi" w:cs="Arial"/>
          <w:b/>
          <w:color w:val="442359"/>
          <w:spacing w:val="-3"/>
          <w:kern w:val="2"/>
          <w:sz w:val="24"/>
          <w:szCs w:val="24"/>
        </w:rPr>
        <w:t>Diageo donation</w:t>
      </w:r>
    </w:p>
    <w:p w14:paraId="3269390B" w14:textId="4D0B047E" w:rsidR="00716581" w:rsidRPr="002B2821" w:rsidRDefault="00355E08" w:rsidP="00096730">
      <w:pPr>
        <w:spacing w:after="180" w:line="240" w:lineRule="auto"/>
        <w:rPr>
          <w:rFonts w:asciiTheme="minorHAnsi" w:hAnsiTheme="minorHAnsi" w:cs="Arial"/>
          <w:sz w:val="24"/>
          <w:szCs w:val="24"/>
          <w:lang w:eastAsia="en-GB"/>
        </w:rPr>
      </w:pPr>
      <w:r w:rsidRPr="002B2821">
        <w:rPr>
          <w:rFonts w:asciiTheme="minorHAnsi" w:hAnsiTheme="minorHAnsi" w:cs="Arial"/>
          <w:sz w:val="24"/>
          <w:szCs w:val="24"/>
          <w:lang w:eastAsia="en-GB"/>
        </w:rPr>
        <w:t xml:space="preserve">The </w:t>
      </w:r>
      <w:r w:rsidR="00D018AE" w:rsidRPr="002B2821">
        <w:rPr>
          <w:rFonts w:asciiTheme="minorHAnsi" w:hAnsiTheme="minorHAnsi" w:cs="Arial"/>
          <w:sz w:val="24"/>
          <w:szCs w:val="24"/>
          <w:lang w:eastAsia="en-GB"/>
        </w:rPr>
        <w:t xml:space="preserve">Diageo </w:t>
      </w:r>
      <w:r w:rsidR="00D018AE">
        <w:rPr>
          <w:rFonts w:asciiTheme="minorHAnsi" w:hAnsiTheme="minorHAnsi" w:cs="Arial"/>
          <w:sz w:val="24"/>
          <w:szCs w:val="24"/>
          <w:lang w:eastAsia="en-GB"/>
        </w:rPr>
        <w:t>donation is paid under the terms of a Deed of C</w:t>
      </w:r>
      <w:r w:rsidRPr="002B2821">
        <w:rPr>
          <w:rFonts w:asciiTheme="minorHAnsi" w:hAnsiTheme="minorHAnsi" w:cs="Arial"/>
          <w:sz w:val="24"/>
          <w:szCs w:val="24"/>
          <w:lang w:eastAsia="en-GB"/>
        </w:rPr>
        <w:t xml:space="preserve">ovenant dated </w:t>
      </w:r>
      <w:r w:rsidR="000B0A47">
        <w:rPr>
          <w:rFonts w:asciiTheme="minorHAnsi" w:hAnsiTheme="minorHAnsi" w:cs="Arial"/>
          <w:sz w:val="24"/>
          <w:szCs w:val="24"/>
          <w:lang w:eastAsia="en-GB"/>
        </w:rPr>
        <w:t>23 January 2018</w:t>
      </w:r>
      <w:r w:rsidR="000B0A47" w:rsidRPr="002B2821">
        <w:rPr>
          <w:rFonts w:asciiTheme="minorHAnsi" w:hAnsiTheme="minorHAnsi" w:cs="Arial"/>
          <w:sz w:val="24"/>
          <w:szCs w:val="24"/>
          <w:lang w:eastAsia="en-GB"/>
        </w:rPr>
        <w:t xml:space="preserve"> </w:t>
      </w:r>
      <w:r w:rsidRPr="002B2821">
        <w:rPr>
          <w:rFonts w:asciiTheme="minorHAnsi" w:hAnsiTheme="minorHAnsi" w:cs="Arial"/>
          <w:sz w:val="24"/>
          <w:szCs w:val="24"/>
          <w:lang w:eastAsia="en-GB"/>
        </w:rPr>
        <w:t xml:space="preserve">which sets out an undertaking to make annual payments until 2037. </w:t>
      </w:r>
    </w:p>
    <w:p w14:paraId="60514F2C" w14:textId="77777777" w:rsidR="00355E08" w:rsidRPr="002B2821" w:rsidRDefault="00355E08" w:rsidP="00096730">
      <w:pPr>
        <w:spacing w:after="240" w:line="240" w:lineRule="auto"/>
        <w:rPr>
          <w:rFonts w:asciiTheme="minorHAnsi" w:hAnsiTheme="minorHAnsi" w:cs="Arial"/>
          <w:sz w:val="24"/>
          <w:szCs w:val="24"/>
          <w:lang w:eastAsia="en-GB"/>
        </w:rPr>
      </w:pPr>
      <w:r w:rsidRPr="002B2821">
        <w:rPr>
          <w:rFonts w:asciiTheme="minorHAnsi" w:hAnsiTheme="minorHAnsi" w:cs="Arial"/>
          <w:sz w:val="24"/>
          <w:szCs w:val="24"/>
          <w:lang w:eastAsia="en-GB"/>
        </w:rPr>
        <w:t xml:space="preserve">The </w:t>
      </w:r>
      <w:r w:rsidR="00EB4B3D" w:rsidRPr="002B2821">
        <w:rPr>
          <w:rFonts w:asciiTheme="minorHAnsi" w:hAnsiTheme="minorHAnsi" w:cs="Arial"/>
          <w:sz w:val="24"/>
          <w:szCs w:val="24"/>
          <w:lang w:eastAsia="en-GB"/>
        </w:rPr>
        <w:t>income is recognised when there is evidence of entitlement, receipt is probable and the amount can be measured reliably. For the Diageo donation, this is upon the receipt of the cash.</w:t>
      </w:r>
    </w:p>
    <w:p w14:paraId="790A3397" w14:textId="77777777" w:rsidR="00B467EC" w:rsidRDefault="007D0603" w:rsidP="00096730">
      <w:pPr>
        <w:tabs>
          <w:tab w:val="left" w:pos="0"/>
          <w:tab w:val="left" w:pos="720"/>
          <w:tab w:val="left" w:pos="1440"/>
          <w:tab w:val="left" w:pos="4992"/>
          <w:tab w:val="decimal" w:pos="5845"/>
          <w:tab w:val="decimal" w:pos="7256"/>
          <w:tab w:val="decimal" w:pos="8667"/>
        </w:tabs>
        <w:suppressAutoHyphens/>
        <w:spacing w:after="120" w:line="240" w:lineRule="auto"/>
        <w:rPr>
          <w:rStyle w:val="STANDARD1"/>
          <w:rFonts w:asciiTheme="minorHAnsi" w:hAnsiTheme="minorHAnsi" w:cs="Arial"/>
          <w:spacing w:val="-3"/>
          <w:kern w:val="2"/>
          <w:sz w:val="24"/>
          <w:szCs w:val="24"/>
        </w:rPr>
      </w:pPr>
      <w:r w:rsidRPr="002B2821">
        <w:rPr>
          <w:rStyle w:val="STANDARD1"/>
          <w:rFonts w:asciiTheme="minorHAnsi" w:hAnsiTheme="minorHAnsi" w:cs="Arial"/>
          <w:b/>
          <w:color w:val="442359"/>
          <w:spacing w:val="-3"/>
          <w:kern w:val="2"/>
          <w:sz w:val="24"/>
          <w:szCs w:val="24"/>
        </w:rPr>
        <w:t xml:space="preserve">Income from </w:t>
      </w:r>
      <w:r w:rsidR="00B467EC" w:rsidRPr="000E7AE0">
        <w:rPr>
          <w:rStyle w:val="STANDARD1"/>
          <w:rFonts w:asciiTheme="minorHAnsi" w:hAnsiTheme="minorHAnsi" w:cs="Arial"/>
          <w:b/>
          <w:color w:val="442359"/>
          <w:spacing w:val="-3"/>
          <w:kern w:val="2"/>
          <w:sz w:val="24"/>
          <w:szCs w:val="24"/>
        </w:rPr>
        <w:t>Health and Social Care Departments</w:t>
      </w:r>
      <w:r w:rsidR="00B467EC">
        <w:rPr>
          <w:rStyle w:val="STANDARD1"/>
          <w:rFonts w:asciiTheme="minorHAnsi" w:hAnsiTheme="minorHAnsi" w:cs="Arial"/>
          <w:spacing w:val="-3"/>
          <w:kern w:val="2"/>
          <w:sz w:val="24"/>
          <w:szCs w:val="24"/>
        </w:rPr>
        <w:t xml:space="preserve"> </w:t>
      </w:r>
    </w:p>
    <w:p w14:paraId="6EAAA79C" w14:textId="7F5490C2" w:rsidR="007D0603" w:rsidRPr="002B2821" w:rsidRDefault="007D0603" w:rsidP="00096730">
      <w:pPr>
        <w:tabs>
          <w:tab w:val="left" w:pos="0"/>
          <w:tab w:val="left" w:pos="720"/>
          <w:tab w:val="left" w:pos="1440"/>
          <w:tab w:val="left" w:pos="4992"/>
          <w:tab w:val="decimal" w:pos="5845"/>
          <w:tab w:val="decimal" w:pos="7256"/>
          <w:tab w:val="decimal" w:pos="8667"/>
        </w:tabs>
        <w:suppressAutoHyphens/>
        <w:spacing w:after="180" w:line="240" w:lineRule="auto"/>
        <w:rPr>
          <w:rStyle w:val="STANDARD1"/>
          <w:rFonts w:asciiTheme="minorHAnsi" w:hAnsiTheme="minorHAnsi" w:cs="Arial"/>
          <w:spacing w:val="-3"/>
          <w:kern w:val="2"/>
          <w:sz w:val="24"/>
          <w:szCs w:val="24"/>
        </w:rPr>
      </w:pPr>
      <w:r w:rsidRPr="002B2821">
        <w:rPr>
          <w:rStyle w:val="STANDARD1"/>
          <w:rFonts w:asciiTheme="minorHAnsi" w:hAnsiTheme="minorHAnsi" w:cs="Arial"/>
          <w:spacing w:val="-3"/>
          <w:kern w:val="2"/>
          <w:sz w:val="24"/>
          <w:szCs w:val="24"/>
        </w:rPr>
        <w:t xml:space="preserve">The UK </w:t>
      </w:r>
      <w:r w:rsidR="00B35A97" w:rsidRPr="002B2821">
        <w:rPr>
          <w:rStyle w:val="STANDARD1"/>
          <w:rFonts w:asciiTheme="minorHAnsi" w:hAnsiTheme="minorHAnsi" w:cs="Arial"/>
          <w:spacing w:val="-3"/>
          <w:kern w:val="2"/>
          <w:sz w:val="24"/>
          <w:szCs w:val="24"/>
        </w:rPr>
        <w:t>G</w:t>
      </w:r>
      <w:r w:rsidRPr="002B2821">
        <w:rPr>
          <w:rStyle w:val="STANDARD1"/>
          <w:rFonts w:asciiTheme="minorHAnsi" w:hAnsiTheme="minorHAnsi" w:cs="Arial"/>
          <w:spacing w:val="-3"/>
          <w:kern w:val="2"/>
          <w:sz w:val="24"/>
          <w:szCs w:val="24"/>
        </w:rPr>
        <w:t xml:space="preserve">overnment supports the Trust by way of </w:t>
      </w:r>
      <w:r w:rsidR="00141DA2" w:rsidRPr="002B2821">
        <w:rPr>
          <w:rStyle w:val="STANDARD1"/>
          <w:rFonts w:asciiTheme="minorHAnsi" w:hAnsiTheme="minorHAnsi" w:cs="Arial"/>
          <w:spacing w:val="-3"/>
          <w:kern w:val="2"/>
          <w:sz w:val="24"/>
          <w:szCs w:val="24"/>
        </w:rPr>
        <w:t>H</w:t>
      </w:r>
      <w:r w:rsidRPr="002B2821">
        <w:rPr>
          <w:rStyle w:val="STANDARD1"/>
          <w:rFonts w:asciiTheme="minorHAnsi" w:hAnsiTheme="minorHAnsi" w:cs="Arial"/>
          <w:spacing w:val="-3"/>
          <w:kern w:val="2"/>
          <w:sz w:val="24"/>
          <w:szCs w:val="24"/>
        </w:rPr>
        <w:t xml:space="preserve">ealth </w:t>
      </w:r>
      <w:r w:rsidR="00141DA2" w:rsidRPr="002B2821">
        <w:rPr>
          <w:rStyle w:val="STANDARD1"/>
          <w:rFonts w:asciiTheme="minorHAnsi" w:hAnsiTheme="minorHAnsi" w:cs="Arial"/>
          <w:spacing w:val="-3"/>
          <w:kern w:val="2"/>
          <w:sz w:val="24"/>
          <w:szCs w:val="24"/>
        </w:rPr>
        <w:t>G</w:t>
      </w:r>
      <w:r w:rsidRPr="002B2821">
        <w:rPr>
          <w:rStyle w:val="STANDARD1"/>
          <w:rFonts w:asciiTheme="minorHAnsi" w:hAnsiTheme="minorHAnsi" w:cs="Arial"/>
          <w:spacing w:val="-3"/>
          <w:kern w:val="2"/>
          <w:sz w:val="24"/>
          <w:szCs w:val="24"/>
        </w:rPr>
        <w:t xml:space="preserve">rant funding agreements in place with </w:t>
      </w:r>
      <w:r w:rsidR="000B0A47">
        <w:rPr>
          <w:rStyle w:val="STANDARD1"/>
          <w:rFonts w:asciiTheme="minorHAnsi" w:hAnsiTheme="minorHAnsi" w:cs="Arial"/>
          <w:spacing w:val="-3"/>
          <w:kern w:val="2"/>
          <w:sz w:val="24"/>
          <w:szCs w:val="24"/>
        </w:rPr>
        <w:t xml:space="preserve">the Health and Social Care Departments in </w:t>
      </w:r>
      <w:r w:rsidRPr="002B2821">
        <w:rPr>
          <w:rStyle w:val="STANDARD1"/>
          <w:rFonts w:asciiTheme="minorHAnsi" w:hAnsiTheme="minorHAnsi" w:cs="Arial"/>
          <w:spacing w:val="-3"/>
          <w:kern w:val="2"/>
          <w:sz w:val="24"/>
          <w:szCs w:val="24"/>
        </w:rPr>
        <w:t xml:space="preserve">England, Scotland, Wales and Northern Ireland </w:t>
      </w:r>
      <w:r w:rsidR="002F7105" w:rsidRPr="002B2821">
        <w:rPr>
          <w:rStyle w:val="STANDARD1"/>
          <w:rFonts w:asciiTheme="minorHAnsi" w:hAnsiTheme="minorHAnsi" w:cs="Arial"/>
          <w:spacing w:val="-3"/>
          <w:kern w:val="2"/>
          <w:sz w:val="24"/>
          <w:szCs w:val="24"/>
        </w:rPr>
        <w:t xml:space="preserve">up until 2022. </w:t>
      </w:r>
    </w:p>
    <w:p w14:paraId="23ED1145" w14:textId="28194EDB" w:rsidR="00676988" w:rsidRPr="002B2821" w:rsidRDefault="00676988" w:rsidP="00096730">
      <w:pPr>
        <w:spacing w:after="240" w:line="240" w:lineRule="auto"/>
        <w:rPr>
          <w:rFonts w:asciiTheme="minorHAnsi" w:hAnsiTheme="minorHAnsi" w:cs="Arial"/>
          <w:sz w:val="24"/>
          <w:szCs w:val="24"/>
          <w:lang w:eastAsia="en-GB"/>
        </w:rPr>
      </w:pPr>
      <w:r w:rsidRPr="002B2821">
        <w:rPr>
          <w:rFonts w:asciiTheme="minorHAnsi" w:hAnsiTheme="minorHAnsi" w:cs="Arial"/>
          <w:sz w:val="24"/>
          <w:szCs w:val="24"/>
          <w:lang w:eastAsia="en-GB"/>
        </w:rPr>
        <w:t xml:space="preserve">The income </w:t>
      </w:r>
      <w:r w:rsidR="00EB4B3D" w:rsidRPr="002B2821">
        <w:rPr>
          <w:rFonts w:asciiTheme="minorHAnsi" w:hAnsiTheme="minorHAnsi" w:cs="Arial"/>
          <w:sz w:val="24"/>
          <w:szCs w:val="24"/>
          <w:lang w:eastAsia="en-GB"/>
        </w:rPr>
        <w:t xml:space="preserve">is recognised when there is evidence of entitlement, receipt is probable and the amount can be measured reliably. For the </w:t>
      </w:r>
      <w:r w:rsidR="0053510D">
        <w:rPr>
          <w:rStyle w:val="STANDARD1"/>
          <w:rFonts w:asciiTheme="minorHAnsi" w:hAnsiTheme="minorHAnsi" w:cs="Arial"/>
          <w:spacing w:val="-3"/>
          <w:kern w:val="2"/>
          <w:sz w:val="24"/>
          <w:szCs w:val="24"/>
        </w:rPr>
        <w:t xml:space="preserve">Health and Social Care Departments </w:t>
      </w:r>
      <w:r w:rsidR="00EB4B3D" w:rsidRPr="002B2821">
        <w:rPr>
          <w:rFonts w:asciiTheme="minorHAnsi" w:hAnsiTheme="minorHAnsi" w:cs="Arial"/>
          <w:sz w:val="24"/>
          <w:szCs w:val="24"/>
          <w:lang w:eastAsia="en-GB"/>
        </w:rPr>
        <w:t>Grants, this is upon the receipt of the cash.</w:t>
      </w:r>
    </w:p>
    <w:p w14:paraId="58BC58CF" w14:textId="77777777" w:rsidR="00B1587C" w:rsidRPr="002B2821" w:rsidRDefault="00B1587C" w:rsidP="00096730">
      <w:pPr>
        <w:tabs>
          <w:tab w:val="left" w:pos="0"/>
          <w:tab w:val="left" w:pos="720"/>
          <w:tab w:val="left" w:pos="1440"/>
          <w:tab w:val="left" w:pos="4992"/>
          <w:tab w:val="decimal" w:pos="5845"/>
          <w:tab w:val="decimal" w:pos="7256"/>
          <w:tab w:val="decimal" w:pos="8667"/>
        </w:tabs>
        <w:suppressAutoHyphens/>
        <w:spacing w:after="120" w:line="240" w:lineRule="auto"/>
        <w:rPr>
          <w:rStyle w:val="STANDARD1"/>
          <w:rFonts w:asciiTheme="minorHAnsi" w:hAnsiTheme="minorHAnsi"/>
          <w:b/>
          <w:color w:val="442359"/>
          <w:sz w:val="24"/>
          <w:szCs w:val="24"/>
        </w:rPr>
      </w:pPr>
      <w:r w:rsidRPr="002B2821">
        <w:rPr>
          <w:rStyle w:val="STANDARD1"/>
          <w:rFonts w:asciiTheme="minorHAnsi" w:hAnsiTheme="minorHAnsi" w:cs="Arial"/>
          <w:b/>
          <w:color w:val="442359"/>
          <w:spacing w:val="-3"/>
          <w:kern w:val="2"/>
          <w:sz w:val="24"/>
          <w:szCs w:val="24"/>
        </w:rPr>
        <w:t>Pension arrangements</w:t>
      </w:r>
    </w:p>
    <w:p w14:paraId="4CA7E7BF" w14:textId="77777777" w:rsidR="00B1587C" w:rsidRPr="002B2821" w:rsidRDefault="00B1587C" w:rsidP="00096730">
      <w:pPr>
        <w:tabs>
          <w:tab w:val="left" w:pos="-1440"/>
          <w:tab w:val="left" w:pos="-720"/>
          <w:tab w:val="right" w:leader="dot" w:pos="0"/>
          <w:tab w:val="left" w:pos="720"/>
          <w:tab w:val="left" w:pos="1440"/>
          <w:tab w:val="decimal" w:pos="2304"/>
        </w:tabs>
        <w:suppressAutoHyphens/>
        <w:spacing w:after="240" w:line="240" w:lineRule="auto"/>
        <w:rPr>
          <w:rStyle w:val="STANDARD1"/>
          <w:rFonts w:asciiTheme="minorHAnsi" w:hAnsiTheme="minorHAnsi" w:cs="Arial"/>
          <w:spacing w:val="-3"/>
          <w:kern w:val="2"/>
          <w:sz w:val="24"/>
          <w:szCs w:val="24"/>
        </w:rPr>
      </w:pPr>
      <w:r w:rsidRPr="002B2821">
        <w:rPr>
          <w:rStyle w:val="STANDARD1"/>
          <w:rFonts w:asciiTheme="minorHAnsi" w:hAnsiTheme="minorHAnsi" w:cs="Arial"/>
          <w:spacing w:val="-3"/>
          <w:kern w:val="2"/>
          <w:sz w:val="24"/>
          <w:szCs w:val="24"/>
        </w:rPr>
        <w:t xml:space="preserve">The Trust operates a defined contribution pension scheme for employees. Contributions are paid into </w:t>
      </w:r>
      <w:r w:rsidR="00056450" w:rsidRPr="002B2821">
        <w:rPr>
          <w:rStyle w:val="STANDARD1"/>
          <w:rFonts w:asciiTheme="minorHAnsi" w:hAnsiTheme="minorHAnsi" w:cs="Arial"/>
          <w:spacing w:val="-3"/>
          <w:kern w:val="2"/>
          <w:sz w:val="24"/>
          <w:szCs w:val="24"/>
        </w:rPr>
        <w:t>the</w:t>
      </w:r>
      <w:r w:rsidR="00EB08AF" w:rsidRPr="002B2821">
        <w:rPr>
          <w:rStyle w:val="STANDARD1"/>
          <w:rFonts w:asciiTheme="minorHAnsi" w:hAnsiTheme="minorHAnsi" w:cs="Arial"/>
          <w:spacing w:val="-3"/>
          <w:kern w:val="2"/>
          <w:sz w:val="24"/>
          <w:szCs w:val="24"/>
        </w:rPr>
        <w:t xml:space="preserve"> group</w:t>
      </w:r>
      <w:r w:rsidRPr="002B2821">
        <w:rPr>
          <w:rStyle w:val="STANDARD1"/>
          <w:rFonts w:asciiTheme="minorHAnsi" w:hAnsiTheme="minorHAnsi" w:cs="Arial"/>
          <w:spacing w:val="-3"/>
          <w:kern w:val="2"/>
          <w:sz w:val="24"/>
          <w:szCs w:val="24"/>
        </w:rPr>
        <w:t xml:space="preserve"> </w:t>
      </w:r>
      <w:r w:rsidR="00056450" w:rsidRPr="002B2821">
        <w:rPr>
          <w:rStyle w:val="STANDARD1"/>
          <w:rFonts w:asciiTheme="minorHAnsi" w:hAnsiTheme="minorHAnsi" w:cs="Arial"/>
          <w:spacing w:val="-3"/>
          <w:kern w:val="2"/>
          <w:sz w:val="24"/>
          <w:szCs w:val="24"/>
        </w:rPr>
        <w:t>scheme</w:t>
      </w:r>
      <w:r w:rsidRPr="002B2821">
        <w:rPr>
          <w:rStyle w:val="STANDARD1"/>
          <w:rFonts w:asciiTheme="minorHAnsi" w:hAnsiTheme="minorHAnsi" w:cs="Arial"/>
          <w:spacing w:val="-3"/>
          <w:kern w:val="2"/>
          <w:sz w:val="24"/>
          <w:szCs w:val="24"/>
        </w:rPr>
        <w:t>, the assets of which are held in an independently administered fund. Contributions are charged to the statement of financial activities as they become payable.</w:t>
      </w:r>
      <w:r w:rsidR="00A6057B" w:rsidRPr="002B2821">
        <w:rPr>
          <w:rStyle w:val="STANDARD1"/>
          <w:rFonts w:asciiTheme="minorHAnsi" w:hAnsiTheme="minorHAnsi" w:cs="Arial"/>
          <w:spacing w:val="-3"/>
          <w:kern w:val="2"/>
          <w:sz w:val="24"/>
          <w:szCs w:val="24"/>
        </w:rPr>
        <w:t xml:space="preserve"> </w:t>
      </w:r>
      <w:r w:rsidRPr="002B2821">
        <w:rPr>
          <w:rStyle w:val="STANDARD1"/>
          <w:rFonts w:asciiTheme="minorHAnsi" w:hAnsiTheme="minorHAnsi" w:cs="Arial"/>
          <w:spacing w:val="-3"/>
          <w:kern w:val="2"/>
          <w:sz w:val="24"/>
          <w:szCs w:val="24"/>
        </w:rPr>
        <w:t xml:space="preserve">The Trust provides no other </w:t>
      </w:r>
      <w:r w:rsidR="00B71E5C" w:rsidRPr="002B2821">
        <w:rPr>
          <w:rStyle w:val="STANDARD1"/>
          <w:rFonts w:asciiTheme="minorHAnsi" w:hAnsiTheme="minorHAnsi" w:cs="Arial"/>
          <w:spacing w:val="-3"/>
          <w:kern w:val="2"/>
          <w:sz w:val="24"/>
          <w:szCs w:val="24"/>
        </w:rPr>
        <w:t>post-retirement</w:t>
      </w:r>
      <w:r w:rsidRPr="002B2821">
        <w:rPr>
          <w:rStyle w:val="STANDARD1"/>
          <w:rFonts w:asciiTheme="minorHAnsi" w:hAnsiTheme="minorHAnsi" w:cs="Arial"/>
          <w:spacing w:val="-3"/>
          <w:kern w:val="2"/>
          <w:sz w:val="24"/>
          <w:szCs w:val="24"/>
        </w:rPr>
        <w:t xml:space="preserve"> benefits to its employees.</w:t>
      </w:r>
    </w:p>
    <w:p w14:paraId="5F5B1A3B" w14:textId="77777777" w:rsidR="00D86E1A" w:rsidRPr="002B2821" w:rsidRDefault="00D86E1A" w:rsidP="00096730">
      <w:pPr>
        <w:pStyle w:val="Heading2"/>
        <w:spacing w:after="120" w:line="240" w:lineRule="auto"/>
        <w:rPr>
          <w:rFonts w:asciiTheme="minorHAnsi" w:hAnsiTheme="minorHAnsi" w:cs="Arial"/>
          <w:color w:val="442359"/>
          <w:sz w:val="24"/>
          <w:szCs w:val="24"/>
        </w:rPr>
      </w:pPr>
      <w:r w:rsidRPr="002B2821">
        <w:rPr>
          <w:rFonts w:asciiTheme="minorHAnsi" w:hAnsiTheme="minorHAnsi" w:cs="Arial"/>
          <w:color w:val="442359"/>
          <w:sz w:val="24"/>
          <w:szCs w:val="24"/>
        </w:rPr>
        <w:t>Charitable expenditure</w:t>
      </w:r>
    </w:p>
    <w:p w14:paraId="450A43B7" w14:textId="77777777" w:rsidR="00D86E1A" w:rsidRPr="002B2821" w:rsidRDefault="00D86E1A" w:rsidP="00096730">
      <w:pPr>
        <w:pStyle w:val="Bodysingle"/>
        <w:spacing w:after="180"/>
        <w:rPr>
          <w:rFonts w:asciiTheme="minorHAnsi" w:hAnsiTheme="minorHAnsi" w:cs="Arial"/>
          <w:sz w:val="24"/>
          <w:szCs w:val="24"/>
        </w:rPr>
      </w:pPr>
      <w:r w:rsidRPr="002B2821">
        <w:rPr>
          <w:rFonts w:asciiTheme="minorHAnsi" w:hAnsiTheme="minorHAnsi" w:cs="Arial"/>
          <w:sz w:val="24"/>
          <w:szCs w:val="24"/>
        </w:rPr>
        <w:t xml:space="preserve">All charitable expenditure is accounted for on an accruals basis and has been classified under the category headings, which aggregate all costs related to each category, as shown in note 6.  Where costs cannot be directly attributed to particular headings they have been allocated in proportion to the time spent by staff on work under each heading. </w:t>
      </w:r>
    </w:p>
    <w:p w14:paraId="35D4AE1B" w14:textId="5D38BB04" w:rsidR="00D86E1A" w:rsidRPr="002B2821" w:rsidRDefault="00D86E1A" w:rsidP="00096730">
      <w:pPr>
        <w:pStyle w:val="TOC1"/>
        <w:spacing w:after="120" w:line="240" w:lineRule="auto"/>
        <w:rPr>
          <w:rFonts w:asciiTheme="minorHAnsi" w:hAnsiTheme="minorHAnsi" w:cs="Arial"/>
          <w:b/>
          <w:color w:val="442359"/>
          <w:spacing w:val="-3"/>
          <w:kern w:val="2"/>
          <w:sz w:val="24"/>
          <w:szCs w:val="24"/>
        </w:rPr>
      </w:pPr>
      <w:r w:rsidRPr="002B2821">
        <w:rPr>
          <w:rFonts w:asciiTheme="minorHAnsi" w:hAnsiTheme="minorHAnsi" w:cs="Arial"/>
          <w:b/>
          <w:color w:val="442359"/>
          <w:spacing w:val="-3"/>
          <w:kern w:val="2"/>
          <w:sz w:val="24"/>
          <w:szCs w:val="24"/>
        </w:rPr>
        <w:t>Grant</w:t>
      </w:r>
      <w:r w:rsidR="00096730">
        <w:rPr>
          <w:rFonts w:asciiTheme="minorHAnsi" w:hAnsiTheme="minorHAnsi" w:cs="Arial"/>
          <w:b/>
          <w:color w:val="442359"/>
          <w:spacing w:val="-3"/>
          <w:kern w:val="2"/>
          <w:sz w:val="24"/>
          <w:szCs w:val="24"/>
        </w:rPr>
        <w:t>-</w:t>
      </w:r>
      <w:r w:rsidRPr="002B2821">
        <w:rPr>
          <w:rFonts w:asciiTheme="minorHAnsi" w:hAnsiTheme="minorHAnsi" w:cs="Arial"/>
          <w:b/>
          <w:color w:val="442359"/>
          <w:spacing w:val="-3"/>
          <w:kern w:val="2"/>
          <w:sz w:val="24"/>
          <w:szCs w:val="24"/>
        </w:rPr>
        <w:t>making</w:t>
      </w:r>
    </w:p>
    <w:p w14:paraId="3B28077E" w14:textId="1E7F5DDC" w:rsidR="00D86E1A" w:rsidRPr="002B2821" w:rsidRDefault="00D86E1A" w:rsidP="00096730">
      <w:pPr>
        <w:spacing w:after="180" w:line="240" w:lineRule="auto"/>
        <w:rPr>
          <w:rFonts w:asciiTheme="minorHAnsi" w:hAnsiTheme="minorHAnsi" w:cs="Arial"/>
          <w:spacing w:val="-3"/>
          <w:sz w:val="24"/>
          <w:szCs w:val="24"/>
        </w:rPr>
      </w:pPr>
      <w:r w:rsidRPr="002B2821">
        <w:rPr>
          <w:rFonts w:asciiTheme="minorHAnsi" w:hAnsiTheme="minorHAnsi" w:cs="Arial"/>
          <w:spacing w:val="-3"/>
          <w:sz w:val="24"/>
          <w:szCs w:val="24"/>
        </w:rPr>
        <w:t xml:space="preserve">Grants payable are accounted for in full as liabilities of the charity when approved by the trustees. </w:t>
      </w:r>
    </w:p>
    <w:p w14:paraId="2A493484" w14:textId="77777777" w:rsidR="00D86E1A" w:rsidRPr="002B2821" w:rsidRDefault="00D86E1A" w:rsidP="00096730">
      <w:pPr>
        <w:pStyle w:val="Heading2"/>
        <w:spacing w:after="120" w:line="240" w:lineRule="auto"/>
        <w:rPr>
          <w:rFonts w:asciiTheme="minorHAnsi" w:hAnsiTheme="minorHAnsi" w:cs="Arial"/>
          <w:color w:val="442359"/>
          <w:sz w:val="24"/>
          <w:szCs w:val="24"/>
        </w:rPr>
      </w:pPr>
      <w:r w:rsidRPr="002B2821">
        <w:rPr>
          <w:rFonts w:asciiTheme="minorHAnsi" w:hAnsiTheme="minorHAnsi" w:cs="Arial"/>
          <w:color w:val="442359"/>
          <w:sz w:val="24"/>
          <w:szCs w:val="24"/>
        </w:rPr>
        <w:t>Non-financial support costs</w:t>
      </w:r>
    </w:p>
    <w:p w14:paraId="55707D8D" w14:textId="77777777" w:rsidR="00D86E1A" w:rsidRPr="002B2821" w:rsidRDefault="00D86E1A" w:rsidP="00096730">
      <w:pPr>
        <w:spacing w:after="180" w:line="240" w:lineRule="auto"/>
        <w:rPr>
          <w:rFonts w:asciiTheme="minorHAnsi" w:hAnsiTheme="minorHAnsi" w:cs="Arial"/>
          <w:spacing w:val="-3"/>
          <w:sz w:val="24"/>
          <w:szCs w:val="24"/>
        </w:rPr>
      </w:pPr>
      <w:r w:rsidRPr="002B2821">
        <w:rPr>
          <w:rFonts w:asciiTheme="minorHAnsi" w:hAnsiTheme="minorHAnsi" w:cs="Arial"/>
          <w:spacing w:val="-3"/>
          <w:sz w:val="24"/>
          <w:szCs w:val="24"/>
        </w:rPr>
        <w:t>Beneficiary support costs comprise the direct costs, including staff, attributable to delivering the Trust’s service of support to beneficiaries.</w:t>
      </w:r>
    </w:p>
    <w:p w14:paraId="578D5CA5" w14:textId="77777777" w:rsidR="00D86E1A" w:rsidRPr="002B2821" w:rsidRDefault="00D86E1A" w:rsidP="00096730">
      <w:pPr>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Governance</w:t>
      </w:r>
    </w:p>
    <w:p w14:paraId="6527F849" w14:textId="77777777" w:rsidR="00D86E1A" w:rsidRPr="002B2821" w:rsidRDefault="00D86E1A" w:rsidP="00096730">
      <w:pPr>
        <w:spacing w:after="180" w:line="240" w:lineRule="auto"/>
        <w:rPr>
          <w:rFonts w:asciiTheme="minorHAnsi" w:hAnsiTheme="minorHAnsi" w:cs="Arial"/>
          <w:sz w:val="24"/>
          <w:szCs w:val="24"/>
        </w:rPr>
      </w:pPr>
      <w:r w:rsidRPr="002B2821">
        <w:rPr>
          <w:rFonts w:asciiTheme="minorHAnsi" w:hAnsiTheme="minorHAnsi" w:cs="Arial"/>
          <w:sz w:val="24"/>
          <w:szCs w:val="24"/>
        </w:rPr>
        <w:t xml:space="preserve">Governance costs cover expenditure on maintaining the constitutional and policymaking framework of the Trust and compliance with statutory requirements. </w:t>
      </w:r>
    </w:p>
    <w:p w14:paraId="42891011" w14:textId="77777777" w:rsidR="00C41ED0" w:rsidRPr="002B2821" w:rsidRDefault="00C41ED0" w:rsidP="00C41ED0">
      <w:pPr>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 xml:space="preserve">Irrecoverable VAT </w:t>
      </w:r>
    </w:p>
    <w:p w14:paraId="1F3A2D07" w14:textId="77777777" w:rsidR="00C41ED0" w:rsidRPr="002B2821" w:rsidRDefault="00C41ED0" w:rsidP="00C41ED0">
      <w:pPr>
        <w:spacing w:after="240" w:line="240" w:lineRule="auto"/>
        <w:rPr>
          <w:rFonts w:asciiTheme="minorHAnsi" w:hAnsiTheme="minorHAnsi" w:cs="Arial"/>
          <w:kern w:val="28"/>
          <w:sz w:val="24"/>
          <w:szCs w:val="24"/>
        </w:rPr>
      </w:pPr>
      <w:r w:rsidRPr="002B2821">
        <w:rPr>
          <w:rFonts w:asciiTheme="minorHAnsi" w:hAnsiTheme="minorHAnsi" w:cs="Arial"/>
          <w:kern w:val="28"/>
          <w:sz w:val="24"/>
          <w:szCs w:val="24"/>
        </w:rPr>
        <w:t>Any irrecoverable VAT is charged to the statement of financial activities, or capitalised as part of the cost of the related asset, where appropriate.</w:t>
      </w:r>
    </w:p>
    <w:p w14:paraId="593B7F26" w14:textId="63A48D2B" w:rsidR="006C7FB7" w:rsidRPr="002B2821" w:rsidRDefault="006C7FB7" w:rsidP="006C7FB7">
      <w:pPr>
        <w:spacing w:before="100" w:beforeAutospacing="1" w:after="100" w:afterAutospacing="1"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163103"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5A89A966" w14:textId="730ACA0D" w:rsidR="006C7FB7" w:rsidRPr="00C41ED0" w:rsidRDefault="006C7FB7" w:rsidP="00C41ED0">
      <w:pPr>
        <w:spacing w:before="100" w:beforeAutospacing="1" w:after="100" w:afterAutospacing="1" w:line="240" w:lineRule="auto"/>
        <w:rPr>
          <w:rFonts w:asciiTheme="minorHAnsi" w:hAnsiTheme="minorHAnsi" w:cs="Arial"/>
          <w:b/>
          <w:color w:val="442359"/>
          <w:sz w:val="24"/>
          <w:szCs w:val="24"/>
        </w:rPr>
      </w:pPr>
      <w:r w:rsidRPr="00C41ED0">
        <w:rPr>
          <w:rFonts w:asciiTheme="minorHAnsi" w:hAnsiTheme="minorHAnsi" w:cs="Arial"/>
          <w:b/>
          <w:color w:val="442359"/>
          <w:sz w:val="24"/>
          <w:szCs w:val="24"/>
        </w:rPr>
        <w:t>Accounting policies (continued)</w:t>
      </w:r>
    </w:p>
    <w:p w14:paraId="58E38464" w14:textId="77777777" w:rsidR="00AC72DA" w:rsidRPr="002B2821" w:rsidRDefault="00AC72DA" w:rsidP="00096730">
      <w:pPr>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Judgements and key sources of estimation uncertainty</w:t>
      </w:r>
    </w:p>
    <w:p w14:paraId="590155AD" w14:textId="13AEA128" w:rsidR="0053510D" w:rsidRDefault="008146A5" w:rsidP="00096730">
      <w:pPr>
        <w:spacing w:after="180" w:line="240" w:lineRule="auto"/>
        <w:rPr>
          <w:rFonts w:asciiTheme="minorHAnsi" w:hAnsiTheme="minorHAnsi" w:cs="Arial"/>
          <w:sz w:val="24"/>
          <w:szCs w:val="24"/>
        </w:rPr>
      </w:pPr>
      <w:r w:rsidRPr="002B2821">
        <w:rPr>
          <w:rFonts w:asciiTheme="minorHAnsi" w:hAnsiTheme="minorHAnsi" w:cs="Arial"/>
          <w:sz w:val="24"/>
          <w:szCs w:val="24"/>
        </w:rPr>
        <w:t xml:space="preserve">Preparation of the financial statements requires management to make significant judgements and estimates. The items in the financial statements where these judgements and estimates have been made include the </w:t>
      </w:r>
      <w:r w:rsidR="0053510D">
        <w:rPr>
          <w:rFonts w:asciiTheme="minorHAnsi" w:hAnsiTheme="minorHAnsi" w:cs="Arial"/>
          <w:sz w:val="24"/>
          <w:szCs w:val="24"/>
        </w:rPr>
        <w:t>recognition of incoming donations and grants</w:t>
      </w:r>
      <w:r w:rsidR="0046360E">
        <w:rPr>
          <w:rFonts w:asciiTheme="minorHAnsi" w:hAnsiTheme="minorHAnsi" w:cs="Arial"/>
          <w:sz w:val="24"/>
          <w:szCs w:val="24"/>
        </w:rPr>
        <w:t>,</w:t>
      </w:r>
      <w:r w:rsidR="0053510D">
        <w:rPr>
          <w:rFonts w:asciiTheme="minorHAnsi" w:hAnsiTheme="minorHAnsi" w:cs="Arial"/>
          <w:sz w:val="24"/>
          <w:szCs w:val="24"/>
        </w:rPr>
        <w:t xml:space="preserve"> and </w:t>
      </w:r>
      <w:r w:rsidR="00D018AE">
        <w:rPr>
          <w:rFonts w:asciiTheme="minorHAnsi" w:hAnsiTheme="minorHAnsi" w:cs="Arial"/>
          <w:sz w:val="24"/>
          <w:szCs w:val="24"/>
        </w:rPr>
        <w:t xml:space="preserve">value of the </w:t>
      </w:r>
      <w:r w:rsidRPr="002B2821">
        <w:rPr>
          <w:rFonts w:asciiTheme="minorHAnsi" w:hAnsiTheme="minorHAnsi" w:cs="Arial"/>
          <w:sz w:val="24"/>
          <w:szCs w:val="24"/>
        </w:rPr>
        <w:t>Advances of Grants amounts falling due within</w:t>
      </w:r>
      <w:r w:rsidR="00D018AE">
        <w:rPr>
          <w:rFonts w:asciiTheme="minorHAnsi" w:hAnsiTheme="minorHAnsi" w:cs="Arial"/>
          <w:sz w:val="24"/>
          <w:szCs w:val="24"/>
        </w:rPr>
        <w:t>,</w:t>
      </w:r>
      <w:r w:rsidRPr="002B2821">
        <w:rPr>
          <w:rFonts w:asciiTheme="minorHAnsi" w:hAnsiTheme="minorHAnsi" w:cs="Arial"/>
          <w:sz w:val="24"/>
          <w:szCs w:val="24"/>
        </w:rPr>
        <w:t xml:space="preserve"> and after</w:t>
      </w:r>
      <w:r w:rsidR="00D018AE">
        <w:rPr>
          <w:rFonts w:asciiTheme="minorHAnsi" w:hAnsiTheme="minorHAnsi" w:cs="Arial"/>
          <w:sz w:val="24"/>
          <w:szCs w:val="24"/>
        </w:rPr>
        <w:t>,</w:t>
      </w:r>
      <w:r w:rsidRPr="002B2821">
        <w:rPr>
          <w:rFonts w:asciiTheme="minorHAnsi" w:hAnsiTheme="minorHAnsi" w:cs="Arial"/>
          <w:sz w:val="24"/>
          <w:szCs w:val="24"/>
        </w:rPr>
        <w:t xml:space="preserve"> one year. </w:t>
      </w:r>
    </w:p>
    <w:p w14:paraId="4E86F453" w14:textId="62252974" w:rsidR="0053510D" w:rsidRDefault="0053510D" w:rsidP="00096730">
      <w:pPr>
        <w:spacing w:after="180" w:line="240" w:lineRule="auto"/>
        <w:rPr>
          <w:rStyle w:val="STANDARD1"/>
          <w:rFonts w:asciiTheme="minorHAnsi" w:hAnsiTheme="minorHAnsi" w:cs="Arial"/>
          <w:spacing w:val="-3"/>
          <w:kern w:val="2"/>
          <w:sz w:val="24"/>
          <w:szCs w:val="24"/>
        </w:rPr>
      </w:pPr>
      <w:r>
        <w:rPr>
          <w:rFonts w:asciiTheme="minorHAnsi" w:hAnsiTheme="minorHAnsi" w:cs="Arial"/>
          <w:sz w:val="24"/>
          <w:szCs w:val="24"/>
        </w:rPr>
        <w:t xml:space="preserve">Incoming grants and donations are considered on a year by year basis when discussions take place with Diageo </w:t>
      </w:r>
      <w:r w:rsidR="006D065C">
        <w:rPr>
          <w:rFonts w:asciiTheme="minorHAnsi" w:hAnsiTheme="minorHAnsi" w:cs="Arial"/>
          <w:sz w:val="24"/>
          <w:szCs w:val="24"/>
        </w:rPr>
        <w:t xml:space="preserve">plc </w:t>
      </w:r>
      <w:r>
        <w:rPr>
          <w:rFonts w:asciiTheme="minorHAnsi" w:hAnsiTheme="minorHAnsi" w:cs="Arial"/>
          <w:sz w:val="24"/>
          <w:szCs w:val="24"/>
        </w:rPr>
        <w:t xml:space="preserve">and the </w:t>
      </w:r>
      <w:r w:rsidR="0046360E">
        <w:rPr>
          <w:rFonts w:asciiTheme="minorHAnsi" w:hAnsiTheme="minorHAnsi" w:cs="Arial"/>
          <w:sz w:val="24"/>
          <w:szCs w:val="24"/>
        </w:rPr>
        <w:t xml:space="preserve">four </w:t>
      </w:r>
      <w:r>
        <w:rPr>
          <w:rStyle w:val="STANDARD1"/>
          <w:rFonts w:asciiTheme="minorHAnsi" w:hAnsiTheme="minorHAnsi" w:cs="Arial"/>
          <w:spacing w:val="-3"/>
          <w:kern w:val="2"/>
          <w:sz w:val="24"/>
          <w:szCs w:val="24"/>
        </w:rPr>
        <w:t xml:space="preserve">Health and Social Care Departments </w:t>
      </w:r>
      <w:r w:rsidR="0046360E">
        <w:rPr>
          <w:rStyle w:val="STANDARD1"/>
          <w:rFonts w:asciiTheme="minorHAnsi" w:hAnsiTheme="minorHAnsi" w:cs="Arial"/>
          <w:spacing w:val="-3"/>
          <w:kern w:val="2"/>
          <w:sz w:val="24"/>
          <w:szCs w:val="24"/>
        </w:rPr>
        <w:t xml:space="preserve">in the UK </w:t>
      </w:r>
      <w:r>
        <w:rPr>
          <w:rStyle w:val="STANDARD1"/>
          <w:rFonts w:asciiTheme="minorHAnsi" w:hAnsiTheme="minorHAnsi" w:cs="Arial"/>
          <w:spacing w:val="-3"/>
          <w:kern w:val="2"/>
          <w:sz w:val="24"/>
          <w:szCs w:val="24"/>
        </w:rPr>
        <w:t>to consider the</w:t>
      </w:r>
      <w:r w:rsidR="0046360E">
        <w:rPr>
          <w:rStyle w:val="STANDARD1"/>
          <w:rFonts w:asciiTheme="minorHAnsi" w:hAnsiTheme="minorHAnsi" w:cs="Arial"/>
          <w:spacing w:val="-3"/>
          <w:kern w:val="2"/>
          <w:sz w:val="24"/>
          <w:szCs w:val="24"/>
        </w:rPr>
        <w:t xml:space="preserve"> level of support needed for current </w:t>
      </w:r>
      <w:r>
        <w:rPr>
          <w:rStyle w:val="STANDARD1"/>
          <w:rFonts w:asciiTheme="minorHAnsi" w:hAnsiTheme="minorHAnsi" w:cs="Arial"/>
          <w:spacing w:val="-3"/>
          <w:kern w:val="2"/>
          <w:sz w:val="24"/>
          <w:szCs w:val="24"/>
        </w:rPr>
        <w:t>benefi</w:t>
      </w:r>
      <w:r w:rsidR="0046360E">
        <w:rPr>
          <w:rStyle w:val="STANDARD1"/>
          <w:rFonts w:asciiTheme="minorHAnsi" w:hAnsiTheme="minorHAnsi" w:cs="Arial"/>
          <w:spacing w:val="-3"/>
          <w:kern w:val="2"/>
          <w:sz w:val="24"/>
          <w:szCs w:val="24"/>
        </w:rPr>
        <w:t>ciaries</w:t>
      </w:r>
      <w:r>
        <w:rPr>
          <w:rStyle w:val="STANDARD1"/>
          <w:rFonts w:asciiTheme="minorHAnsi" w:hAnsiTheme="minorHAnsi" w:cs="Arial"/>
          <w:spacing w:val="-3"/>
          <w:kern w:val="2"/>
          <w:sz w:val="24"/>
          <w:szCs w:val="24"/>
        </w:rPr>
        <w:t xml:space="preserve">. </w:t>
      </w:r>
      <w:r w:rsidR="0046360E">
        <w:rPr>
          <w:rStyle w:val="STANDARD1"/>
          <w:rFonts w:asciiTheme="minorHAnsi" w:hAnsiTheme="minorHAnsi" w:cs="Arial"/>
          <w:spacing w:val="-3"/>
          <w:kern w:val="2"/>
          <w:sz w:val="24"/>
          <w:szCs w:val="24"/>
        </w:rPr>
        <w:t xml:space="preserve">Future receipts are not anticipated </w:t>
      </w:r>
      <w:r w:rsidR="00205849">
        <w:rPr>
          <w:rStyle w:val="STANDARD1"/>
          <w:rFonts w:asciiTheme="minorHAnsi" w:hAnsiTheme="minorHAnsi" w:cs="Arial"/>
          <w:spacing w:val="-3"/>
          <w:kern w:val="2"/>
          <w:sz w:val="24"/>
          <w:szCs w:val="24"/>
        </w:rPr>
        <w:t xml:space="preserve">within the financial statements </w:t>
      </w:r>
      <w:r w:rsidR="0046360E">
        <w:rPr>
          <w:rStyle w:val="STANDARD1"/>
          <w:rFonts w:asciiTheme="minorHAnsi" w:hAnsiTheme="minorHAnsi" w:cs="Arial"/>
          <w:spacing w:val="-3"/>
          <w:kern w:val="2"/>
          <w:sz w:val="24"/>
          <w:szCs w:val="24"/>
        </w:rPr>
        <w:t>as there is uncertainty as to the level of the receipts.</w:t>
      </w:r>
    </w:p>
    <w:p w14:paraId="2B5AE511" w14:textId="09B1A5E0" w:rsidR="000671AC" w:rsidRPr="002B2821" w:rsidRDefault="008146A5" w:rsidP="00096730">
      <w:pPr>
        <w:spacing w:after="180" w:line="240" w:lineRule="auto"/>
        <w:rPr>
          <w:rFonts w:asciiTheme="minorHAnsi" w:hAnsiTheme="minorHAnsi" w:cs="Arial"/>
          <w:sz w:val="24"/>
          <w:szCs w:val="24"/>
        </w:rPr>
      </w:pPr>
      <w:r w:rsidRPr="002B2821">
        <w:rPr>
          <w:rFonts w:asciiTheme="minorHAnsi" w:hAnsiTheme="minorHAnsi" w:cs="Arial"/>
          <w:sz w:val="24"/>
          <w:szCs w:val="24"/>
        </w:rPr>
        <w:t xml:space="preserve">Advances </w:t>
      </w:r>
      <w:r w:rsidR="0046360E">
        <w:rPr>
          <w:rFonts w:asciiTheme="minorHAnsi" w:hAnsiTheme="minorHAnsi" w:cs="Arial"/>
          <w:sz w:val="24"/>
          <w:szCs w:val="24"/>
        </w:rPr>
        <w:t xml:space="preserve">of Grants are </w:t>
      </w:r>
      <w:r w:rsidRPr="002B2821">
        <w:rPr>
          <w:rFonts w:asciiTheme="minorHAnsi" w:hAnsiTheme="minorHAnsi" w:cs="Arial"/>
          <w:sz w:val="24"/>
          <w:szCs w:val="24"/>
        </w:rPr>
        <w:t xml:space="preserve">recovered by </w:t>
      </w:r>
      <w:r w:rsidR="0046360E">
        <w:rPr>
          <w:rFonts w:asciiTheme="minorHAnsi" w:hAnsiTheme="minorHAnsi" w:cs="Arial"/>
          <w:sz w:val="24"/>
          <w:szCs w:val="24"/>
        </w:rPr>
        <w:t xml:space="preserve">the Trust through </w:t>
      </w:r>
      <w:r w:rsidRPr="002B2821">
        <w:rPr>
          <w:rFonts w:asciiTheme="minorHAnsi" w:hAnsiTheme="minorHAnsi" w:cs="Arial"/>
          <w:sz w:val="24"/>
          <w:szCs w:val="24"/>
        </w:rPr>
        <w:t xml:space="preserve">deductions from future grants allocated to beneficiaries. </w:t>
      </w:r>
      <w:r w:rsidR="0046360E">
        <w:rPr>
          <w:rFonts w:asciiTheme="minorHAnsi" w:hAnsiTheme="minorHAnsi" w:cs="Arial"/>
          <w:sz w:val="24"/>
          <w:szCs w:val="24"/>
        </w:rPr>
        <w:t>Where possible, the Trust places a charge on property as security for the Advance and has further reduced the risk of the non</w:t>
      </w:r>
      <w:r w:rsidR="00096730">
        <w:rPr>
          <w:rFonts w:asciiTheme="minorHAnsi" w:hAnsiTheme="minorHAnsi" w:cs="Arial"/>
          <w:sz w:val="24"/>
          <w:szCs w:val="24"/>
        </w:rPr>
        <w:t>-</w:t>
      </w:r>
      <w:r w:rsidR="0046360E">
        <w:rPr>
          <w:rFonts w:asciiTheme="minorHAnsi" w:hAnsiTheme="minorHAnsi" w:cs="Arial"/>
          <w:sz w:val="24"/>
          <w:szCs w:val="24"/>
        </w:rPr>
        <w:t xml:space="preserve">repayment of an Advance through an </w:t>
      </w:r>
      <w:r w:rsidR="00C24954" w:rsidRPr="002B2821">
        <w:rPr>
          <w:rFonts w:asciiTheme="minorHAnsi" w:hAnsiTheme="minorHAnsi" w:cs="Arial"/>
          <w:sz w:val="24"/>
          <w:szCs w:val="24"/>
        </w:rPr>
        <w:t xml:space="preserve">insurance policy held by the Trust. Based on these </w:t>
      </w:r>
      <w:r w:rsidR="0046360E">
        <w:rPr>
          <w:rFonts w:asciiTheme="minorHAnsi" w:hAnsiTheme="minorHAnsi" w:cs="Arial"/>
          <w:sz w:val="24"/>
          <w:szCs w:val="24"/>
        </w:rPr>
        <w:t>actions</w:t>
      </w:r>
      <w:r w:rsidR="00C24954" w:rsidRPr="002B2821">
        <w:rPr>
          <w:rFonts w:asciiTheme="minorHAnsi" w:hAnsiTheme="minorHAnsi" w:cs="Arial"/>
          <w:sz w:val="24"/>
          <w:szCs w:val="24"/>
        </w:rPr>
        <w:t xml:space="preserve">, in </w:t>
      </w:r>
      <w:r w:rsidR="00FF0D25" w:rsidRPr="002B2821">
        <w:rPr>
          <w:rFonts w:asciiTheme="minorHAnsi" w:hAnsiTheme="minorHAnsi" w:cs="Arial"/>
          <w:sz w:val="24"/>
          <w:szCs w:val="24"/>
        </w:rPr>
        <w:t xml:space="preserve">the </w:t>
      </w:r>
      <w:r w:rsidR="00C24954" w:rsidRPr="002B2821">
        <w:rPr>
          <w:rFonts w:asciiTheme="minorHAnsi" w:hAnsiTheme="minorHAnsi" w:cs="Arial"/>
          <w:sz w:val="24"/>
          <w:szCs w:val="24"/>
        </w:rPr>
        <w:t xml:space="preserve">judgement of the Trust’s management the Advances as at the </w:t>
      </w:r>
      <w:r w:rsidR="00BD0243" w:rsidRPr="002B2821">
        <w:rPr>
          <w:rFonts w:asciiTheme="minorHAnsi" w:hAnsiTheme="minorHAnsi" w:cs="Arial"/>
          <w:sz w:val="24"/>
          <w:szCs w:val="24"/>
        </w:rPr>
        <w:t>year-end</w:t>
      </w:r>
      <w:r w:rsidR="00C24954" w:rsidRPr="002B2821">
        <w:rPr>
          <w:rFonts w:asciiTheme="minorHAnsi" w:hAnsiTheme="minorHAnsi" w:cs="Arial"/>
          <w:sz w:val="24"/>
          <w:szCs w:val="24"/>
        </w:rPr>
        <w:t xml:space="preserve"> are fully recoverable.</w:t>
      </w:r>
    </w:p>
    <w:p w14:paraId="5E3B7FF1" w14:textId="77777777" w:rsidR="00D86E1A" w:rsidRPr="002B2821" w:rsidRDefault="00D86E1A" w:rsidP="00D86E1A">
      <w:pPr>
        <w:pStyle w:val="BodyText"/>
        <w:numPr>
          <w:ilvl w:val="0"/>
          <w:numId w:val="7"/>
        </w:numPr>
        <w:spacing w:before="100" w:beforeAutospacing="1" w:after="100" w:afterAutospacing="1" w:line="240" w:lineRule="auto"/>
        <w:rPr>
          <w:rFonts w:asciiTheme="minorHAnsi" w:hAnsiTheme="minorHAnsi" w:cs="Arial"/>
          <w:color w:val="442359"/>
          <w:sz w:val="24"/>
          <w:szCs w:val="24"/>
        </w:rPr>
      </w:pPr>
      <w:r w:rsidRPr="002B2821">
        <w:rPr>
          <w:rFonts w:asciiTheme="minorHAnsi" w:hAnsiTheme="minorHAnsi" w:cs="Arial"/>
          <w:b/>
          <w:color w:val="442359"/>
          <w:sz w:val="24"/>
          <w:szCs w:val="24"/>
        </w:rPr>
        <w:t>Investment income</w:t>
      </w:r>
    </w:p>
    <w:tbl>
      <w:tblPr>
        <w:tblW w:w="7648" w:type="dxa"/>
        <w:tblLook w:val="04A0" w:firstRow="1" w:lastRow="0" w:firstColumn="1" w:lastColumn="0" w:noHBand="0" w:noVBand="1"/>
      </w:tblPr>
      <w:tblGrid>
        <w:gridCol w:w="1465"/>
        <w:gridCol w:w="1236"/>
        <w:gridCol w:w="1236"/>
        <w:gridCol w:w="716"/>
        <w:gridCol w:w="1236"/>
        <w:gridCol w:w="436"/>
        <w:gridCol w:w="1176"/>
        <w:gridCol w:w="236"/>
      </w:tblGrid>
      <w:tr w:rsidR="00D86E1A" w:rsidRPr="002B2821" w14:paraId="741CDB22" w14:textId="77777777" w:rsidTr="00E666FF">
        <w:trPr>
          <w:trHeight w:val="255"/>
        </w:trPr>
        <w:tc>
          <w:tcPr>
            <w:tcW w:w="1376" w:type="dxa"/>
            <w:tcBorders>
              <w:top w:val="nil"/>
              <w:left w:val="nil"/>
              <w:bottom w:val="nil"/>
              <w:right w:val="nil"/>
            </w:tcBorders>
            <w:shd w:val="clear" w:color="auto" w:fill="auto"/>
            <w:noWrap/>
            <w:vAlign w:val="bottom"/>
            <w:hideMark/>
          </w:tcPr>
          <w:p w14:paraId="2BA836DD" w14:textId="77777777" w:rsidR="00D86E1A" w:rsidRPr="002B2821" w:rsidRDefault="00D86E1A" w:rsidP="00E666FF">
            <w:pPr>
              <w:spacing w:after="0" w:line="240" w:lineRule="auto"/>
              <w:rPr>
                <w:sz w:val="24"/>
                <w:szCs w:val="24"/>
                <w:lang w:eastAsia="en-GB"/>
              </w:rPr>
            </w:pPr>
          </w:p>
        </w:tc>
        <w:tc>
          <w:tcPr>
            <w:tcW w:w="1236" w:type="dxa"/>
            <w:tcBorders>
              <w:top w:val="nil"/>
              <w:left w:val="nil"/>
              <w:bottom w:val="nil"/>
              <w:right w:val="nil"/>
            </w:tcBorders>
            <w:shd w:val="clear" w:color="auto" w:fill="auto"/>
            <w:noWrap/>
            <w:vAlign w:val="bottom"/>
            <w:hideMark/>
          </w:tcPr>
          <w:p w14:paraId="6F4D8EDB"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D6E47D8"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AC6ECAE"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C72A66E" w14:textId="77777777" w:rsidR="00D86E1A" w:rsidRPr="002B2821" w:rsidRDefault="00D86E1A" w:rsidP="00E666FF">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436" w:type="dxa"/>
            <w:tcBorders>
              <w:top w:val="nil"/>
              <w:left w:val="nil"/>
              <w:bottom w:val="nil"/>
              <w:right w:val="nil"/>
            </w:tcBorders>
            <w:shd w:val="clear" w:color="auto" w:fill="auto"/>
            <w:noWrap/>
            <w:vAlign w:val="bottom"/>
            <w:hideMark/>
          </w:tcPr>
          <w:p w14:paraId="75678DEB" w14:textId="77777777" w:rsidR="00D86E1A" w:rsidRPr="002B2821" w:rsidRDefault="00D86E1A" w:rsidP="00E666FF">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20BC66E9" w14:textId="77777777" w:rsidR="00D86E1A" w:rsidRPr="002B2821" w:rsidRDefault="00D86E1A" w:rsidP="00E666FF">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36" w:type="dxa"/>
            <w:tcBorders>
              <w:top w:val="nil"/>
              <w:left w:val="nil"/>
              <w:bottom w:val="nil"/>
              <w:right w:val="nil"/>
            </w:tcBorders>
            <w:shd w:val="clear" w:color="auto" w:fill="auto"/>
            <w:noWrap/>
            <w:vAlign w:val="bottom"/>
            <w:hideMark/>
          </w:tcPr>
          <w:p w14:paraId="76C4B9E7" w14:textId="77777777" w:rsidR="00D86E1A" w:rsidRPr="002B2821" w:rsidRDefault="00D86E1A" w:rsidP="00E666FF">
            <w:pPr>
              <w:spacing w:after="0" w:line="240" w:lineRule="auto"/>
              <w:jc w:val="right"/>
              <w:rPr>
                <w:rFonts w:ascii="Calibri" w:hAnsi="Calibri" w:cs="Arial"/>
                <w:color w:val="333399"/>
                <w:sz w:val="24"/>
                <w:szCs w:val="24"/>
                <w:lang w:eastAsia="en-GB"/>
              </w:rPr>
            </w:pPr>
          </w:p>
        </w:tc>
      </w:tr>
      <w:tr w:rsidR="00D86E1A" w:rsidRPr="002B2821" w14:paraId="57954816" w14:textId="77777777" w:rsidTr="00E666FF">
        <w:trPr>
          <w:trHeight w:val="255"/>
        </w:trPr>
        <w:tc>
          <w:tcPr>
            <w:tcW w:w="1376" w:type="dxa"/>
            <w:tcBorders>
              <w:top w:val="nil"/>
              <w:left w:val="nil"/>
              <w:bottom w:val="nil"/>
              <w:right w:val="nil"/>
            </w:tcBorders>
            <w:shd w:val="clear" w:color="auto" w:fill="auto"/>
            <w:noWrap/>
            <w:vAlign w:val="bottom"/>
            <w:hideMark/>
          </w:tcPr>
          <w:p w14:paraId="120FB040" w14:textId="77777777" w:rsidR="00D86E1A" w:rsidRPr="002B2821" w:rsidRDefault="00D86E1A" w:rsidP="00E666FF">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Unrestricted</w:t>
            </w:r>
          </w:p>
        </w:tc>
        <w:tc>
          <w:tcPr>
            <w:tcW w:w="1236" w:type="dxa"/>
            <w:tcBorders>
              <w:top w:val="nil"/>
              <w:left w:val="nil"/>
              <w:bottom w:val="nil"/>
              <w:right w:val="nil"/>
            </w:tcBorders>
            <w:shd w:val="clear" w:color="auto" w:fill="auto"/>
            <w:noWrap/>
            <w:vAlign w:val="bottom"/>
            <w:hideMark/>
          </w:tcPr>
          <w:p w14:paraId="7EE93554" w14:textId="77777777" w:rsidR="00D86E1A" w:rsidRPr="002B2821" w:rsidRDefault="00D86E1A" w:rsidP="00E666FF">
            <w:pPr>
              <w:spacing w:after="0" w:line="240" w:lineRule="auto"/>
              <w:rPr>
                <w:rFonts w:ascii="Calibri" w:hAnsi="Calibri" w:cs="Arial"/>
                <w:b/>
                <w:bCs/>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53AFCC8E"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1A4732F0"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879E260" w14:textId="77777777" w:rsidR="00D86E1A" w:rsidRPr="002B2821" w:rsidRDefault="00D86E1A" w:rsidP="00E666FF">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36" w:type="dxa"/>
            <w:tcBorders>
              <w:top w:val="nil"/>
              <w:left w:val="nil"/>
              <w:bottom w:val="nil"/>
              <w:right w:val="nil"/>
            </w:tcBorders>
            <w:shd w:val="clear" w:color="auto" w:fill="auto"/>
            <w:noWrap/>
            <w:vAlign w:val="bottom"/>
            <w:hideMark/>
          </w:tcPr>
          <w:p w14:paraId="36EE57C4" w14:textId="77777777" w:rsidR="00D86E1A" w:rsidRPr="002B2821" w:rsidRDefault="00D86E1A" w:rsidP="00E666FF">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70A9BA57" w14:textId="77777777" w:rsidR="00D86E1A" w:rsidRPr="002B2821" w:rsidRDefault="00D86E1A" w:rsidP="00E666FF">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36" w:type="dxa"/>
            <w:tcBorders>
              <w:top w:val="nil"/>
              <w:left w:val="nil"/>
              <w:bottom w:val="nil"/>
              <w:right w:val="nil"/>
            </w:tcBorders>
            <w:shd w:val="clear" w:color="auto" w:fill="auto"/>
            <w:noWrap/>
            <w:vAlign w:val="bottom"/>
            <w:hideMark/>
          </w:tcPr>
          <w:p w14:paraId="3A5E8807" w14:textId="77777777" w:rsidR="00D86E1A" w:rsidRPr="002B2821" w:rsidRDefault="00D86E1A" w:rsidP="00E666FF">
            <w:pPr>
              <w:spacing w:after="0" w:line="240" w:lineRule="auto"/>
              <w:jc w:val="right"/>
              <w:rPr>
                <w:rFonts w:ascii="Calibri" w:hAnsi="Calibri" w:cs="Arial"/>
                <w:color w:val="333399"/>
                <w:sz w:val="24"/>
                <w:szCs w:val="24"/>
                <w:lang w:eastAsia="en-GB"/>
              </w:rPr>
            </w:pPr>
          </w:p>
        </w:tc>
      </w:tr>
      <w:tr w:rsidR="00D86E1A" w:rsidRPr="002B2821" w14:paraId="3C6FFC5B" w14:textId="77777777" w:rsidTr="00E666FF">
        <w:trPr>
          <w:trHeight w:val="188"/>
        </w:trPr>
        <w:tc>
          <w:tcPr>
            <w:tcW w:w="1376" w:type="dxa"/>
            <w:tcBorders>
              <w:top w:val="nil"/>
              <w:left w:val="nil"/>
              <w:bottom w:val="nil"/>
              <w:right w:val="nil"/>
            </w:tcBorders>
            <w:shd w:val="clear" w:color="auto" w:fill="auto"/>
            <w:noWrap/>
            <w:vAlign w:val="bottom"/>
            <w:hideMark/>
          </w:tcPr>
          <w:p w14:paraId="14FB6224"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AF0B302"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F10027B"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43C0FB6"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F338996"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773242D7"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E3B1BFA"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1CAD38FD" w14:textId="77777777" w:rsidR="00D86E1A" w:rsidRPr="002B2821" w:rsidRDefault="00D86E1A" w:rsidP="00E666FF">
            <w:pPr>
              <w:spacing w:after="0" w:line="240" w:lineRule="auto"/>
              <w:jc w:val="right"/>
              <w:rPr>
                <w:lang w:eastAsia="en-GB"/>
              </w:rPr>
            </w:pPr>
          </w:p>
        </w:tc>
      </w:tr>
      <w:tr w:rsidR="00D86E1A" w:rsidRPr="002B2821" w14:paraId="211B3D48" w14:textId="77777777" w:rsidTr="00E666FF">
        <w:trPr>
          <w:trHeight w:val="255"/>
        </w:trPr>
        <w:tc>
          <w:tcPr>
            <w:tcW w:w="4564" w:type="dxa"/>
            <w:gridSpan w:val="4"/>
            <w:tcBorders>
              <w:top w:val="nil"/>
              <w:left w:val="nil"/>
              <w:bottom w:val="nil"/>
              <w:right w:val="nil"/>
            </w:tcBorders>
            <w:shd w:val="clear" w:color="auto" w:fill="auto"/>
            <w:noWrap/>
            <w:vAlign w:val="bottom"/>
            <w:hideMark/>
          </w:tcPr>
          <w:p w14:paraId="2F30FC9C"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Quoted Investments and Investment Trusts</w:t>
            </w:r>
          </w:p>
        </w:tc>
        <w:tc>
          <w:tcPr>
            <w:tcW w:w="1236" w:type="dxa"/>
            <w:tcBorders>
              <w:top w:val="nil"/>
              <w:left w:val="nil"/>
              <w:bottom w:val="nil"/>
              <w:right w:val="nil"/>
            </w:tcBorders>
            <w:shd w:val="clear" w:color="auto" w:fill="auto"/>
            <w:noWrap/>
            <w:vAlign w:val="bottom"/>
            <w:hideMark/>
          </w:tcPr>
          <w:p w14:paraId="0557C671"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1,527</w:t>
            </w:r>
          </w:p>
        </w:tc>
        <w:tc>
          <w:tcPr>
            <w:tcW w:w="436" w:type="dxa"/>
            <w:tcBorders>
              <w:top w:val="nil"/>
              <w:left w:val="nil"/>
              <w:bottom w:val="nil"/>
              <w:right w:val="nil"/>
            </w:tcBorders>
            <w:shd w:val="clear" w:color="auto" w:fill="auto"/>
            <w:noWrap/>
            <w:vAlign w:val="bottom"/>
            <w:hideMark/>
          </w:tcPr>
          <w:p w14:paraId="13648165"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11C4B6D7"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2,533</w:t>
            </w:r>
          </w:p>
        </w:tc>
        <w:tc>
          <w:tcPr>
            <w:tcW w:w="236" w:type="dxa"/>
            <w:tcBorders>
              <w:top w:val="nil"/>
              <w:left w:val="nil"/>
              <w:bottom w:val="nil"/>
              <w:right w:val="nil"/>
            </w:tcBorders>
            <w:shd w:val="clear" w:color="auto" w:fill="auto"/>
            <w:noWrap/>
            <w:vAlign w:val="bottom"/>
            <w:hideMark/>
          </w:tcPr>
          <w:p w14:paraId="42A723F5"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5B510A1C" w14:textId="77777777" w:rsidTr="00E666FF">
        <w:trPr>
          <w:trHeight w:val="132"/>
        </w:trPr>
        <w:tc>
          <w:tcPr>
            <w:tcW w:w="1376" w:type="dxa"/>
            <w:tcBorders>
              <w:top w:val="nil"/>
              <w:left w:val="nil"/>
              <w:bottom w:val="nil"/>
              <w:right w:val="nil"/>
            </w:tcBorders>
            <w:shd w:val="clear" w:color="auto" w:fill="auto"/>
            <w:noWrap/>
            <w:vAlign w:val="bottom"/>
            <w:hideMark/>
          </w:tcPr>
          <w:p w14:paraId="2D0AAD61"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DAA1AE3"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1D6363A"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21EB3F04"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8DD3E2A"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3AA6B690"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28B67BF8"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7BBEA1C5" w14:textId="77777777" w:rsidR="00D86E1A" w:rsidRPr="002B2821" w:rsidRDefault="00D86E1A" w:rsidP="00E666FF">
            <w:pPr>
              <w:spacing w:after="0" w:line="240" w:lineRule="auto"/>
              <w:jc w:val="right"/>
              <w:rPr>
                <w:lang w:eastAsia="en-GB"/>
              </w:rPr>
            </w:pPr>
          </w:p>
        </w:tc>
      </w:tr>
      <w:tr w:rsidR="00D86E1A" w:rsidRPr="002B2821" w14:paraId="01517564" w14:textId="77777777" w:rsidTr="00E666FF">
        <w:trPr>
          <w:trHeight w:val="255"/>
        </w:trPr>
        <w:tc>
          <w:tcPr>
            <w:tcW w:w="3848" w:type="dxa"/>
            <w:gridSpan w:val="3"/>
            <w:tcBorders>
              <w:top w:val="nil"/>
              <w:left w:val="nil"/>
              <w:bottom w:val="nil"/>
              <w:right w:val="nil"/>
            </w:tcBorders>
            <w:shd w:val="clear" w:color="auto" w:fill="auto"/>
            <w:noWrap/>
            <w:vAlign w:val="bottom"/>
            <w:hideMark/>
          </w:tcPr>
          <w:p w14:paraId="4EFDC4A3"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Listed Unit Trusts - UK Regulated</w:t>
            </w:r>
          </w:p>
        </w:tc>
        <w:tc>
          <w:tcPr>
            <w:tcW w:w="716" w:type="dxa"/>
            <w:tcBorders>
              <w:top w:val="nil"/>
              <w:left w:val="nil"/>
              <w:bottom w:val="nil"/>
              <w:right w:val="nil"/>
            </w:tcBorders>
            <w:shd w:val="clear" w:color="auto" w:fill="auto"/>
            <w:noWrap/>
            <w:vAlign w:val="bottom"/>
            <w:hideMark/>
          </w:tcPr>
          <w:p w14:paraId="786D93B4" w14:textId="77777777" w:rsidR="00D86E1A" w:rsidRPr="002B2821" w:rsidRDefault="00D86E1A" w:rsidP="00E666FF">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1EC84F36"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558</w:t>
            </w:r>
          </w:p>
        </w:tc>
        <w:tc>
          <w:tcPr>
            <w:tcW w:w="436" w:type="dxa"/>
            <w:tcBorders>
              <w:top w:val="nil"/>
              <w:left w:val="nil"/>
              <w:bottom w:val="nil"/>
              <w:right w:val="nil"/>
            </w:tcBorders>
            <w:shd w:val="clear" w:color="auto" w:fill="auto"/>
            <w:noWrap/>
            <w:vAlign w:val="bottom"/>
            <w:hideMark/>
          </w:tcPr>
          <w:p w14:paraId="059396F9"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0A138575"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36" w:type="dxa"/>
            <w:tcBorders>
              <w:top w:val="nil"/>
              <w:left w:val="nil"/>
              <w:bottom w:val="nil"/>
              <w:right w:val="nil"/>
            </w:tcBorders>
            <w:shd w:val="clear" w:color="auto" w:fill="auto"/>
            <w:noWrap/>
            <w:vAlign w:val="bottom"/>
            <w:hideMark/>
          </w:tcPr>
          <w:p w14:paraId="29F3996B"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174EE1D5" w14:textId="77777777" w:rsidTr="00E666FF">
        <w:trPr>
          <w:trHeight w:val="132"/>
        </w:trPr>
        <w:tc>
          <w:tcPr>
            <w:tcW w:w="1376" w:type="dxa"/>
            <w:tcBorders>
              <w:top w:val="nil"/>
              <w:left w:val="nil"/>
              <w:bottom w:val="nil"/>
              <w:right w:val="nil"/>
            </w:tcBorders>
            <w:shd w:val="clear" w:color="auto" w:fill="auto"/>
            <w:noWrap/>
            <w:vAlign w:val="bottom"/>
            <w:hideMark/>
          </w:tcPr>
          <w:p w14:paraId="2D1136CD"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870162B"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F0F175F"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11006BFF"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83BD493"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0A56FB6C"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45F826EA"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5BF9C030" w14:textId="77777777" w:rsidR="00D86E1A" w:rsidRPr="002B2821" w:rsidRDefault="00D86E1A" w:rsidP="00E666FF">
            <w:pPr>
              <w:spacing w:after="0" w:line="240" w:lineRule="auto"/>
              <w:jc w:val="right"/>
              <w:rPr>
                <w:lang w:eastAsia="en-GB"/>
              </w:rPr>
            </w:pPr>
          </w:p>
        </w:tc>
      </w:tr>
      <w:tr w:rsidR="00D86E1A" w:rsidRPr="002B2821" w14:paraId="02062972" w14:textId="77777777" w:rsidTr="00E666FF">
        <w:trPr>
          <w:trHeight w:val="132"/>
        </w:trPr>
        <w:tc>
          <w:tcPr>
            <w:tcW w:w="1376" w:type="dxa"/>
            <w:tcBorders>
              <w:top w:val="nil"/>
              <w:left w:val="nil"/>
              <w:bottom w:val="nil"/>
              <w:right w:val="nil"/>
            </w:tcBorders>
            <w:shd w:val="clear" w:color="auto" w:fill="auto"/>
            <w:noWrap/>
            <w:vAlign w:val="bottom"/>
            <w:hideMark/>
          </w:tcPr>
          <w:p w14:paraId="483A6D8A"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48913B7"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9C5F906"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AEF0EBB"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014F493"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5EF780AB"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8101515"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7C05B538" w14:textId="77777777" w:rsidR="00D86E1A" w:rsidRPr="002B2821" w:rsidRDefault="00D86E1A" w:rsidP="00E666FF">
            <w:pPr>
              <w:spacing w:after="0" w:line="240" w:lineRule="auto"/>
              <w:jc w:val="right"/>
              <w:rPr>
                <w:lang w:eastAsia="en-GB"/>
              </w:rPr>
            </w:pPr>
          </w:p>
        </w:tc>
      </w:tr>
      <w:tr w:rsidR="00D86E1A" w:rsidRPr="002B2821" w14:paraId="2BCBEC1B" w14:textId="77777777" w:rsidTr="00E666FF">
        <w:trPr>
          <w:trHeight w:val="255"/>
        </w:trPr>
        <w:tc>
          <w:tcPr>
            <w:tcW w:w="4564" w:type="dxa"/>
            <w:gridSpan w:val="4"/>
            <w:tcBorders>
              <w:top w:val="nil"/>
              <w:left w:val="nil"/>
              <w:bottom w:val="nil"/>
              <w:right w:val="nil"/>
            </w:tcBorders>
            <w:shd w:val="clear" w:color="auto" w:fill="auto"/>
            <w:noWrap/>
            <w:vAlign w:val="bottom"/>
            <w:hideMark/>
          </w:tcPr>
          <w:p w14:paraId="4170B6E2"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Listed Unit Trusts – Overseas Regulated</w:t>
            </w:r>
          </w:p>
        </w:tc>
        <w:tc>
          <w:tcPr>
            <w:tcW w:w="1236" w:type="dxa"/>
            <w:tcBorders>
              <w:top w:val="nil"/>
              <w:left w:val="nil"/>
              <w:bottom w:val="nil"/>
              <w:right w:val="nil"/>
            </w:tcBorders>
            <w:shd w:val="clear" w:color="auto" w:fill="auto"/>
            <w:noWrap/>
            <w:vAlign w:val="bottom"/>
            <w:hideMark/>
          </w:tcPr>
          <w:p w14:paraId="1C24C5FC"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73</w:t>
            </w:r>
          </w:p>
        </w:tc>
        <w:tc>
          <w:tcPr>
            <w:tcW w:w="436" w:type="dxa"/>
            <w:tcBorders>
              <w:top w:val="nil"/>
              <w:left w:val="nil"/>
              <w:bottom w:val="nil"/>
              <w:right w:val="nil"/>
            </w:tcBorders>
            <w:shd w:val="clear" w:color="auto" w:fill="auto"/>
            <w:noWrap/>
            <w:vAlign w:val="bottom"/>
            <w:hideMark/>
          </w:tcPr>
          <w:p w14:paraId="49CC22C6"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375ED1AF"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48</w:t>
            </w:r>
          </w:p>
        </w:tc>
        <w:tc>
          <w:tcPr>
            <w:tcW w:w="236" w:type="dxa"/>
            <w:tcBorders>
              <w:top w:val="nil"/>
              <w:left w:val="nil"/>
              <w:bottom w:val="nil"/>
              <w:right w:val="nil"/>
            </w:tcBorders>
            <w:shd w:val="clear" w:color="auto" w:fill="auto"/>
            <w:noWrap/>
            <w:vAlign w:val="bottom"/>
            <w:hideMark/>
          </w:tcPr>
          <w:p w14:paraId="4B9EF28D"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7E2991BF" w14:textId="77777777" w:rsidTr="00E666FF">
        <w:trPr>
          <w:trHeight w:val="132"/>
        </w:trPr>
        <w:tc>
          <w:tcPr>
            <w:tcW w:w="1376" w:type="dxa"/>
            <w:tcBorders>
              <w:top w:val="nil"/>
              <w:left w:val="nil"/>
              <w:bottom w:val="nil"/>
              <w:right w:val="nil"/>
            </w:tcBorders>
            <w:shd w:val="clear" w:color="auto" w:fill="auto"/>
            <w:noWrap/>
            <w:vAlign w:val="bottom"/>
            <w:hideMark/>
          </w:tcPr>
          <w:p w14:paraId="492D9C54"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5D31828"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E52A7F9"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0402D59A"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BC915C3"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6C54C91B"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0BB406F9"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147C432B" w14:textId="77777777" w:rsidR="00D86E1A" w:rsidRPr="002B2821" w:rsidRDefault="00D86E1A" w:rsidP="00E666FF">
            <w:pPr>
              <w:spacing w:after="0" w:line="240" w:lineRule="auto"/>
              <w:jc w:val="right"/>
              <w:rPr>
                <w:lang w:eastAsia="en-GB"/>
              </w:rPr>
            </w:pPr>
          </w:p>
        </w:tc>
      </w:tr>
      <w:tr w:rsidR="00D86E1A" w:rsidRPr="002B2821" w14:paraId="133B8C25" w14:textId="77777777" w:rsidTr="00E666FF">
        <w:trPr>
          <w:trHeight w:val="255"/>
        </w:trPr>
        <w:tc>
          <w:tcPr>
            <w:tcW w:w="3848" w:type="dxa"/>
            <w:gridSpan w:val="3"/>
            <w:tcBorders>
              <w:top w:val="nil"/>
              <w:left w:val="nil"/>
              <w:bottom w:val="nil"/>
              <w:right w:val="nil"/>
            </w:tcBorders>
            <w:shd w:val="clear" w:color="auto" w:fill="auto"/>
            <w:noWrap/>
            <w:vAlign w:val="bottom"/>
            <w:hideMark/>
          </w:tcPr>
          <w:p w14:paraId="1BC95762"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Authorised common investment fund</w:t>
            </w:r>
          </w:p>
        </w:tc>
        <w:tc>
          <w:tcPr>
            <w:tcW w:w="716" w:type="dxa"/>
            <w:tcBorders>
              <w:top w:val="nil"/>
              <w:left w:val="nil"/>
              <w:bottom w:val="nil"/>
              <w:right w:val="nil"/>
            </w:tcBorders>
            <w:shd w:val="clear" w:color="auto" w:fill="auto"/>
            <w:noWrap/>
            <w:vAlign w:val="bottom"/>
            <w:hideMark/>
          </w:tcPr>
          <w:p w14:paraId="1629FBFB" w14:textId="77777777" w:rsidR="00D86E1A" w:rsidRPr="002B2821" w:rsidRDefault="00D86E1A" w:rsidP="00E666FF">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63B49A8F"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2,310</w:t>
            </w:r>
          </w:p>
        </w:tc>
        <w:tc>
          <w:tcPr>
            <w:tcW w:w="436" w:type="dxa"/>
            <w:tcBorders>
              <w:top w:val="nil"/>
              <w:left w:val="nil"/>
              <w:bottom w:val="nil"/>
              <w:right w:val="nil"/>
            </w:tcBorders>
            <w:shd w:val="clear" w:color="auto" w:fill="auto"/>
            <w:noWrap/>
            <w:vAlign w:val="bottom"/>
            <w:hideMark/>
          </w:tcPr>
          <w:p w14:paraId="229A39A4"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11A20C51"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1,032</w:t>
            </w:r>
          </w:p>
        </w:tc>
        <w:tc>
          <w:tcPr>
            <w:tcW w:w="236" w:type="dxa"/>
            <w:tcBorders>
              <w:top w:val="nil"/>
              <w:left w:val="nil"/>
              <w:bottom w:val="nil"/>
              <w:right w:val="nil"/>
            </w:tcBorders>
            <w:shd w:val="clear" w:color="auto" w:fill="auto"/>
            <w:noWrap/>
            <w:vAlign w:val="bottom"/>
            <w:hideMark/>
          </w:tcPr>
          <w:p w14:paraId="10BF3AB3"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02B0E96E" w14:textId="77777777" w:rsidTr="00E666FF">
        <w:trPr>
          <w:trHeight w:val="147"/>
        </w:trPr>
        <w:tc>
          <w:tcPr>
            <w:tcW w:w="1376" w:type="dxa"/>
            <w:tcBorders>
              <w:top w:val="nil"/>
              <w:left w:val="nil"/>
              <w:bottom w:val="nil"/>
              <w:right w:val="nil"/>
            </w:tcBorders>
            <w:shd w:val="clear" w:color="auto" w:fill="auto"/>
            <w:noWrap/>
            <w:vAlign w:val="bottom"/>
            <w:hideMark/>
          </w:tcPr>
          <w:p w14:paraId="6E7C13DF"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9134734"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39F4CA9"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714CE721"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E4BC0DE"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2B32E36F"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A4BEA8C"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2D71D2CE" w14:textId="77777777" w:rsidR="00D86E1A" w:rsidRPr="002B2821" w:rsidRDefault="00D86E1A" w:rsidP="00E666FF">
            <w:pPr>
              <w:spacing w:after="0" w:line="240" w:lineRule="auto"/>
              <w:jc w:val="right"/>
              <w:rPr>
                <w:lang w:eastAsia="en-GB"/>
              </w:rPr>
            </w:pPr>
          </w:p>
        </w:tc>
      </w:tr>
      <w:tr w:rsidR="00D86E1A" w:rsidRPr="002B2821" w14:paraId="1B1C25C9" w14:textId="77777777" w:rsidTr="00E666FF">
        <w:trPr>
          <w:trHeight w:val="255"/>
        </w:trPr>
        <w:tc>
          <w:tcPr>
            <w:tcW w:w="2612" w:type="dxa"/>
            <w:gridSpan w:val="2"/>
            <w:tcBorders>
              <w:top w:val="nil"/>
              <w:left w:val="nil"/>
              <w:bottom w:val="nil"/>
              <w:right w:val="nil"/>
            </w:tcBorders>
            <w:shd w:val="clear" w:color="auto" w:fill="auto"/>
            <w:noWrap/>
            <w:vAlign w:val="bottom"/>
            <w:hideMark/>
          </w:tcPr>
          <w:p w14:paraId="57F7C41A"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Term Deposit Interest</w:t>
            </w:r>
          </w:p>
        </w:tc>
        <w:tc>
          <w:tcPr>
            <w:tcW w:w="1236" w:type="dxa"/>
            <w:tcBorders>
              <w:top w:val="nil"/>
              <w:left w:val="nil"/>
              <w:bottom w:val="nil"/>
              <w:right w:val="nil"/>
            </w:tcBorders>
            <w:shd w:val="clear" w:color="auto" w:fill="auto"/>
            <w:noWrap/>
            <w:vAlign w:val="bottom"/>
            <w:hideMark/>
          </w:tcPr>
          <w:p w14:paraId="572AFA8E" w14:textId="77777777" w:rsidR="00D86E1A" w:rsidRPr="002B2821" w:rsidRDefault="00D86E1A" w:rsidP="00E666FF">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26DAF3A7"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8C20DE2"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33</w:t>
            </w:r>
          </w:p>
        </w:tc>
        <w:tc>
          <w:tcPr>
            <w:tcW w:w="436" w:type="dxa"/>
            <w:tcBorders>
              <w:top w:val="nil"/>
              <w:left w:val="nil"/>
              <w:bottom w:val="nil"/>
              <w:right w:val="nil"/>
            </w:tcBorders>
            <w:shd w:val="clear" w:color="auto" w:fill="auto"/>
            <w:noWrap/>
            <w:vAlign w:val="bottom"/>
            <w:hideMark/>
          </w:tcPr>
          <w:p w14:paraId="079B6422"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6F5D1556"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9</w:t>
            </w:r>
          </w:p>
        </w:tc>
        <w:tc>
          <w:tcPr>
            <w:tcW w:w="236" w:type="dxa"/>
            <w:tcBorders>
              <w:top w:val="nil"/>
              <w:left w:val="nil"/>
              <w:bottom w:val="nil"/>
              <w:right w:val="nil"/>
            </w:tcBorders>
            <w:shd w:val="clear" w:color="auto" w:fill="auto"/>
            <w:noWrap/>
            <w:vAlign w:val="bottom"/>
            <w:hideMark/>
          </w:tcPr>
          <w:p w14:paraId="61086BCB"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4DDCA9EE" w14:textId="77777777" w:rsidTr="00E666FF">
        <w:trPr>
          <w:trHeight w:val="132"/>
        </w:trPr>
        <w:tc>
          <w:tcPr>
            <w:tcW w:w="1376" w:type="dxa"/>
            <w:tcBorders>
              <w:top w:val="nil"/>
              <w:left w:val="nil"/>
              <w:bottom w:val="nil"/>
              <w:right w:val="nil"/>
            </w:tcBorders>
            <w:shd w:val="clear" w:color="auto" w:fill="auto"/>
            <w:noWrap/>
            <w:vAlign w:val="bottom"/>
            <w:hideMark/>
          </w:tcPr>
          <w:p w14:paraId="21E25E19"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440A2E7"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EB625C6"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6CD3FD0F" w14:textId="77777777" w:rsidR="00D86E1A" w:rsidRPr="002B2821" w:rsidRDefault="00D86E1A" w:rsidP="00E666FF">
            <w:pPr>
              <w:spacing w:after="0" w:line="240" w:lineRule="auto"/>
              <w:rPr>
                <w:lang w:eastAsia="en-GB"/>
              </w:rPr>
            </w:pPr>
          </w:p>
        </w:tc>
        <w:tc>
          <w:tcPr>
            <w:tcW w:w="1236" w:type="dxa"/>
            <w:tcBorders>
              <w:top w:val="nil"/>
              <w:left w:val="nil"/>
              <w:bottom w:val="single" w:sz="4" w:space="0" w:color="000000"/>
              <w:right w:val="nil"/>
            </w:tcBorders>
            <w:shd w:val="clear" w:color="auto" w:fill="auto"/>
            <w:noWrap/>
            <w:vAlign w:val="bottom"/>
            <w:hideMark/>
          </w:tcPr>
          <w:p w14:paraId="1BA02A61"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436" w:type="dxa"/>
            <w:tcBorders>
              <w:top w:val="nil"/>
              <w:left w:val="nil"/>
              <w:bottom w:val="nil"/>
              <w:right w:val="nil"/>
            </w:tcBorders>
            <w:shd w:val="clear" w:color="auto" w:fill="auto"/>
            <w:noWrap/>
            <w:vAlign w:val="bottom"/>
            <w:hideMark/>
          </w:tcPr>
          <w:p w14:paraId="6A867D83"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single" w:sz="4" w:space="0" w:color="000000"/>
              <w:right w:val="nil"/>
            </w:tcBorders>
            <w:shd w:val="clear" w:color="auto" w:fill="auto"/>
            <w:noWrap/>
            <w:vAlign w:val="bottom"/>
            <w:hideMark/>
          </w:tcPr>
          <w:p w14:paraId="448A0639"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236" w:type="dxa"/>
            <w:tcBorders>
              <w:top w:val="nil"/>
              <w:left w:val="nil"/>
              <w:bottom w:val="nil"/>
              <w:right w:val="nil"/>
            </w:tcBorders>
            <w:shd w:val="clear" w:color="auto" w:fill="auto"/>
            <w:noWrap/>
            <w:vAlign w:val="bottom"/>
            <w:hideMark/>
          </w:tcPr>
          <w:p w14:paraId="7E1D874E"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47E92356" w14:textId="77777777" w:rsidTr="00E666FF">
        <w:trPr>
          <w:trHeight w:val="255"/>
        </w:trPr>
        <w:tc>
          <w:tcPr>
            <w:tcW w:w="1376" w:type="dxa"/>
            <w:tcBorders>
              <w:top w:val="nil"/>
              <w:left w:val="nil"/>
              <w:bottom w:val="nil"/>
              <w:right w:val="nil"/>
            </w:tcBorders>
            <w:shd w:val="clear" w:color="auto" w:fill="auto"/>
            <w:noWrap/>
            <w:vAlign w:val="bottom"/>
            <w:hideMark/>
          </w:tcPr>
          <w:p w14:paraId="256FED33"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1EB79EB"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1B115A5"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11983CA7"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85B80C0"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4,501</w:t>
            </w:r>
          </w:p>
        </w:tc>
        <w:tc>
          <w:tcPr>
            <w:tcW w:w="436" w:type="dxa"/>
            <w:tcBorders>
              <w:top w:val="nil"/>
              <w:left w:val="nil"/>
              <w:bottom w:val="nil"/>
              <w:right w:val="nil"/>
            </w:tcBorders>
            <w:shd w:val="clear" w:color="auto" w:fill="auto"/>
            <w:noWrap/>
            <w:vAlign w:val="bottom"/>
            <w:hideMark/>
          </w:tcPr>
          <w:p w14:paraId="0967146E"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528768CC"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3,622</w:t>
            </w:r>
          </w:p>
        </w:tc>
        <w:tc>
          <w:tcPr>
            <w:tcW w:w="236" w:type="dxa"/>
            <w:tcBorders>
              <w:top w:val="nil"/>
              <w:left w:val="nil"/>
              <w:bottom w:val="nil"/>
              <w:right w:val="nil"/>
            </w:tcBorders>
            <w:shd w:val="clear" w:color="auto" w:fill="auto"/>
            <w:noWrap/>
            <w:vAlign w:val="bottom"/>
            <w:hideMark/>
          </w:tcPr>
          <w:p w14:paraId="2FCC33BA"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281BA4D9" w14:textId="77777777" w:rsidTr="00E666FF">
        <w:trPr>
          <w:trHeight w:val="255"/>
        </w:trPr>
        <w:tc>
          <w:tcPr>
            <w:tcW w:w="2612" w:type="dxa"/>
            <w:gridSpan w:val="2"/>
            <w:tcBorders>
              <w:top w:val="nil"/>
              <w:left w:val="nil"/>
              <w:bottom w:val="nil"/>
              <w:right w:val="nil"/>
            </w:tcBorders>
            <w:shd w:val="clear" w:color="auto" w:fill="auto"/>
            <w:noWrap/>
            <w:vAlign w:val="bottom"/>
            <w:hideMark/>
          </w:tcPr>
          <w:p w14:paraId="55FD7FFE" w14:textId="77777777" w:rsidR="00D86E1A" w:rsidRPr="002B2821" w:rsidRDefault="00D86E1A" w:rsidP="00E666FF">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Restricted Fund</w:t>
            </w:r>
          </w:p>
        </w:tc>
        <w:tc>
          <w:tcPr>
            <w:tcW w:w="1236" w:type="dxa"/>
            <w:tcBorders>
              <w:top w:val="nil"/>
              <w:left w:val="nil"/>
              <w:bottom w:val="nil"/>
              <w:right w:val="nil"/>
            </w:tcBorders>
            <w:shd w:val="clear" w:color="auto" w:fill="auto"/>
            <w:noWrap/>
            <w:vAlign w:val="bottom"/>
            <w:hideMark/>
          </w:tcPr>
          <w:p w14:paraId="792426BC" w14:textId="77777777" w:rsidR="00D86E1A" w:rsidRPr="002B2821" w:rsidRDefault="00D86E1A" w:rsidP="00E666FF">
            <w:pPr>
              <w:spacing w:after="0" w:line="240" w:lineRule="auto"/>
              <w:rPr>
                <w:rFonts w:ascii="Calibri" w:hAnsi="Calibri" w:cs="Arial"/>
                <w:b/>
                <w:bCs/>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7AEEF6F9"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C85B840"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70FA4A96"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4D0C4671"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AF730E5" w14:textId="77777777" w:rsidR="00D86E1A" w:rsidRPr="002B2821" w:rsidRDefault="00D86E1A" w:rsidP="00E666FF">
            <w:pPr>
              <w:spacing w:after="0" w:line="240" w:lineRule="auto"/>
              <w:jc w:val="right"/>
              <w:rPr>
                <w:lang w:eastAsia="en-GB"/>
              </w:rPr>
            </w:pPr>
          </w:p>
        </w:tc>
      </w:tr>
      <w:tr w:rsidR="00D86E1A" w:rsidRPr="002B2821" w14:paraId="3197785D" w14:textId="77777777" w:rsidTr="00E666FF">
        <w:trPr>
          <w:trHeight w:val="132"/>
        </w:trPr>
        <w:tc>
          <w:tcPr>
            <w:tcW w:w="1376" w:type="dxa"/>
            <w:tcBorders>
              <w:top w:val="nil"/>
              <w:left w:val="nil"/>
              <w:bottom w:val="nil"/>
              <w:right w:val="nil"/>
            </w:tcBorders>
            <w:shd w:val="clear" w:color="auto" w:fill="auto"/>
            <w:noWrap/>
            <w:vAlign w:val="bottom"/>
            <w:hideMark/>
          </w:tcPr>
          <w:p w14:paraId="478FE2C9"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5FC1D92"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4076119"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0A24EE0D"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5CD26C3"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6A54EFF6"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786AA80"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447CD2F" w14:textId="77777777" w:rsidR="00D86E1A" w:rsidRPr="002B2821" w:rsidRDefault="00D86E1A" w:rsidP="00E666FF">
            <w:pPr>
              <w:spacing w:after="0" w:line="240" w:lineRule="auto"/>
              <w:jc w:val="right"/>
              <w:rPr>
                <w:lang w:eastAsia="en-GB"/>
              </w:rPr>
            </w:pPr>
          </w:p>
        </w:tc>
      </w:tr>
      <w:tr w:rsidR="00D86E1A" w:rsidRPr="002B2821" w14:paraId="69ED234B" w14:textId="77777777" w:rsidTr="00E666FF">
        <w:trPr>
          <w:trHeight w:val="255"/>
        </w:trPr>
        <w:tc>
          <w:tcPr>
            <w:tcW w:w="2612" w:type="dxa"/>
            <w:gridSpan w:val="2"/>
            <w:tcBorders>
              <w:top w:val="nil"/>
              <w:left w:val="nil"/>
              <w:bottom w:val="nil"/>
              <w:right w:val="nil"/>
            </w:tcBorders>
            <w:shd w:val="clear" w:color="auto" w:fill="auto"/>
            <w:noWrap/>
            <w:vAlign w:val="bottom"/>
            <w:hideMark/>
          </w:tcPr>
          <w:p w14:paraId="1AF15E08"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Term Deposit Interest</w:t>
            </w:r>
          </w:p>
        </w:tc>
        <w:tc>
          <w:tcPr>
            <w:tcW w:w="1236" w:type="dxa"/>
            <w:tcBorders>
              <w:top w:val="nil"/>
              <w:left w:val="nil"/>
              <w:bottom w:val="nil"/>
              <w:right w:val="nil"/>
            </w:tcBorders>
            <w:shd w:val="clear" w:color="auto" w:fill="auto"/>
            <w:noWrap/>
            <w:vAlign w:val="bottom"/>
            <w:hideMark/>
          </w:tcPr>
          <w:p w14:paraId="38B10F01" w14:textId="77777777" w:rsidR="00D86E1A" w:rsidRPr="002B2821" w:rsidRDefault="00D86E1A" w:rsidP="00E666FF">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7B9978BE"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9BA19FE"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w:t>
            </w:r>
          </w:p>
        </w:tc>
        <w:tc>
          <w:tcPr>
            <w:tcW w:w="436" w:type="dxa"/>
            <w:tcBorders>
              <w:top w:val="nil"/>
              <w:left w:val="nil"/>
              <w:bottom w:val="nil"/>
              <w:right w:val="nil"/>
            </w:tcBorders>
            <w:shd w:val="clear" w:color="auto" w:fill="auto"/>
            <w:noWrap/>
            <w:vAlign w:val="bottom"/>
            <w:hideMark/>
          </w:tcPr>
          <w:p w14:paraId="0384009D"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7A184A9E"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9</w:t>
            </w:r>
          </w:p>
        </w:tc>
        <w:tc>
          <w:tcPr>
            <w:tcW w:w="236" w:type="dxa"/>
            <w:tcBorders>
              <w:top w:val="nil"/>
              <w:left w:val="nil"/>
              <w:bottom w:val="nil"/>
              <w:right w:val="nil"/>
            </w:tcBorders>
            <w:shd w:val="clear" w:color="auto" w:fill="auto"/>
            <w:noWrap/>
            <w:vAlign w:val="bottom"/>
            <w:hideMark/>
          </w:tcPr>
          <w:p w14:paraId="10F38976"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r w:rsidR="00D86E1A" w:rsidRPr="002B2821" w14:paraId="70B1A8F8" w14:textId="77777777" w:rsidTr="00E666FF">
        <w:trPr>
          <w:trHeight w:val="132"/>
        </w:trPr>
        <w:tc>
          <w:tcPr>
            <w:tcW w:w="1376" w:type="dxa"/>
            <w:tcBorders>
              <w:top w:val="nil"/>
              <w:left w:val="nil"/>
              <w:bottom w:val="nil"/>
              <w:right w:val="nil"/>
            </w:tcBorders>
            <w:shd w:val="clear" w:color="auto" w:fill="auto"/>
            <w:noWrap/>
            <w:vAlign w:val="bottom"/>
            <w:hideMark/>
          </w:tcPr>
          <w:p w14:paraId="496FF3A0"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6E212DF"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9FAD560" w14:textId="77777777" w:rsidR="00D86E1A" w:rsidRPr="002B2821" w:rsidRDefault="00D86E1A" w:rsidP="00E666FF">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76D8679D" w14:textId="77777777" w:rsidR="00D86E1A" w:rsidRPr="002B2821" w:rsidRDefault="00D86E1A" w:rsidP="00E666FF">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70BE486" w14:textId="77777777" w:rsidR="00D86E1A" w:rsidRPr="002B2821" w:rsidRDefault="00D86E1A" w:rsidP="00E666FF">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4E4AD780" w14:textId="77777777" w:rsidR="00D86E1A" w:rsidRPr="002B2821" w:rsidRDefault="00D86E1A" w:rsidP="00E666FF">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283A15C7" w14:textId="77777777" w:rsidR="00D86E1A" w:rsidRPr="002B2821" w:rsidRDefault="00D86E1A" w:rsidP="00E666FF">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576249AF" w14:textId="77777777" w:rsidR="00D86E1A" w:rsidRPr="002B2821" w:rsidRDefault="00D86E1A" w:rsidP="00E666FF">
            <w:pPr>
              <w:spacing w:after="0" w:line="240" w:lineRule="auto"/>
              <w:jc w:val="right"/>
              <w:rPr>
                <w:lang w:eastAsia="en-GB"/>
              </w:rPr>
            </w:pPr>
          </w:p>
        </w:tc>
      </w:tr>
      <w:tr w:rsidR="00D86E1A" w:rsidRPr="002B2821" w14:paraId="679DC419" w14:textId="77777777" w:rsidTr="00E666FF">
        <w:trPr>
          <w:trHeight w:val="255"/>
        </w:trPr>
        <w:tc>
          <w:tcPr>
            <w:tcW w:w="4564" w:type="dxa"/>
            <w:gridSpan w:val="4"/>
            <w:tcBorders>
              <w:top w:val="nil"/>
              <w:left w:val="nil"/>
              <w:bottom w:val="nil"/>
              <w:right w:val="nil"/>
            </w:tcBorders>
            <w:shd w:val="clear" w:color="auto" w:fill="auto"/>
            <w:noWrap/>
            <w:vAlign w:val="bottom"/>
            <w:hideMark/>
          </w:tcPr>
          <w:p w14:paraId="6AAC2F99" w14:textId="77777777" w:rsidR="00D86E1A" w:rsidRPr="002B2821" w:rsidRDefault="00D86E1A" w:rsidP="00E666FF">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Total per Statement of Financial Activities</w:t>
            </w:r>
          </w:p>
        </w:tc>
        <w:tc>
          <w:tcPr>
            <w:tcW w:w="1236" w:type="dxa"/>
            <w:tcBorders>
              <w:top w:val="single" w:sz="4" w:space="0" w:color="000000"/>
              <w:left w:val="nil"/>
              <w:bottom w:val="single" w:sz="4" w:space="0" w:color="000000"/>
              <w:right w:val="nil"/>
            </w:tcBorders>
            <w:shd w:val="clear" w:color="auto" w:fill="auto"/>
            <w:noWrap/>
            <w:vAlign w:val="bottom"/>
            <w:hideMark/>
          </w:tcPr>
          <w:p w14:paraId="6AAAE402" w14:textId="77777777" w:rsidR="00D86E1A" w:rsidRPr="002B2821" w:rsidRDefault="00D86E1A" w:rsidP="00E666FF">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4,504</w:t>
            </w:r>
          </w:p>
        </w:tc>
        <w:tc>
          <w:tcPr>
            <w:tcW w:w="436" w:type="dxa"/>
            <w:tcBorders>
              <w:top w:val="nil"/>
              <w:left w:val="nil"/>
              <w:bottom w:val="nil"/>
              <w:right w:val="nil"/>
            </w:tcBorders>
            <w:shd w:val="clear" w:color="auto" w:fill="auto"/>
            <w:noWrap/>
            <w:vAlign w:val="bottom"/>
            <w:hideMark/>
          </w:tcPr>
          <w:p w14:paraId="38FA225A" w14:textId="77777777" w:rsidR="00D86E1A" w:rsidRPr="002B2821" w:rsidRDefault="00D86E1A" w:rsidP="00E666FF">
            <w:pPr>
              <w:spacing w:after="0" w:line="240" w:lineRule="auto"/>
              <w:jc w:val="right"/>
              <w:rPr>
                <w:rFonts w:ascii="Calibri" w:hAnsi="Calibri" w:cs="Arial"/>
                <w:b/>
                <w:bCs/>
                <w:color w:val="000000"/>
                <w:sz w:val="24"/>
                <w:szCs w:val="24"/>
                <w:lang w:eastAsia="en-GB"/>
              </w:rPr>
            </w:pPr>
          </w:p>
        </w:tc>
        <w:tc>
          <w:tcPr>
            <w:tcW w:w="1176" w:type="dxa"/>
            <w:tcBorders>
              <w:top w:val="single" w:sz="4" w:space="0" w:color="000000"/>
              <w:left w:val="nil"/>
              <w:bottom w:val="single" w:sz="4" w:space="0" w:color="000000"/>
              <w:right w:val="nil"/>
            </w:tcBorders>
            <w:shd w:val="clear" w:color="auto" w:fill="auto"/>
            <w:noWrap/>
            <w:vAlign w:val="bottom"/>
            <w:hideMark/>
          </w:tcPr>
          <w:p w14:paraId="6F04B9AC" w14:textId="77777777" w:rsidR="00D86E1A" w:rsidRPr="002B2821" w:rsidRDefault="00D86E1A" w:rsidP="00E666FF">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3,631</w:t>
            </w:r>
          </w:p>
        </w:tc>
        <w:tc>
          <w:tcPr>
            <w:tcW w:w="236" w:type="dxa"/>
            <w:tcBorders>
              <w:top w:val="nil"/>
              <w:left w:val="nil"/>
              <w:bottom w:val="nil"/>
              <w:right w:val="nil"/>
            </w:tcBorders>
            <w:shd w:val="clear" w:color="auto" w:fill="auto"/>
            <w:noWrap/>
            <w:vAlign w:val="bottom"/>
            <w:hideMark/>
          </w:tcPr>
          <w:p w14:paraId="2353F9AA" w14:textId="77777777" w:rsidR="00D86E1A" w:rsidRPr="002B2821" w:rsidRDefault="00D86E1A" w:rsidP="00E666FF">
            <w:pPr>
              <w:spacing w:after="0" w:line="240" w:lineRule="auto"/>
              <w:jc w:val="right"/>
              <w:rPr>
                <w:rFonts w:ascii="Calibri" w:hAnsi="Calibri" w:cs="Arial"/>
                <w:color w:val="000000"/>
                <w:sz w:val="24"/>
                <w:szCs w:val="24"/>
                <w:lang w:eastAsia="en-GB"/>
              </w:rPr>
            </w:pPr>
          </w:p>
        </w:tc>
      </w:tr>
    </w:tbl>
    <w:p w14:paraId="30AAF295" w14:textId="2EA44B9C" w:rsidR="00FF38FB" w:rsidRPr="002B2821" w:rsidRDefault="00FF38FB" w:rsidP="00096730">
      <w:pPr>
        <w:pStyle w:val="ListParagraph"/>
        <w:numPr>
          <w:ilvl w:val="0"/>
          <w:numId w:val="7"/>
        </w:numPr>
        <w:spacing w:before="240" w:after="180" w:line="240" w:lineRule="auto"/>
        <w:rPr>
          <w:rFonts w:asciiTheme="minorHAnsi" w:hAnsiTheme="minorHAnsi" w:cs="Arial"/>
          <w:bCs/>
          <w:color w:val="442359"/>
          <w:sz w:val="24"/>
          <w:szCs w:val="24"/>
        </w:rPr>
      </w:pPr>
      <w:r w:rsidRPr="002B2821">
        <w:rPr>
          <w:rFonts w:asciiTheme="minorHAnsi" w:hAnsiTheme="minorHAnsi" w:cs="Arial"/>
          <w:b/>
          <w:color w:val="442359"/>
          <w:sz w:val="24"/>
          <w:szCs w:val="24"/>
        </w:rPr>
        <w:t xml:space="preserve">Diageo </w:t>
      </w:r>
      <w:r w:rsidR="006D065C">
        <w:rPr>
          <w:rFonts w:asciiTheme="minorHAnsi" w:hAnsiTheme="minorHAnsi" w:cs="Arial"/>
          <w:b/>
          <w:color w:val="442359"/>
          <w:sz w:val="24"/>
          <w:szCs w:val="24"/>
        </w:rPr>
        <w:t xml:space="preserve">plc </w:t>
      </w:r>
      <w:r w:rsidRPr="002B2821">
        <w:rPr>
          <w:rFonts w:asciiTheme="minorHAnsi" w:hAnsiTheme="minorHAnsi" w:cs="Arial"/>
          <w:b/>
          <w:color w:val="442359"/>
          <w:sz w:val="24"/>
          <w:szCs w:val="24"/>
        </w:rPr>
        <w:t>donation</w:t>
      </w:r>
      <w:r w:rsidR="006D1302" w:rsidRPr="002B2821">
        <w:rPr>
          <w:rFonts w:asciiTheme="minorHAnsi" w:hAnsiTheme="minorHAnsi" w:cs="Arial"/>
          <w:b/>
          <w:color w:val="442359"/>
          <w:sz w:val="24"/>
          <w:szCs w:val="24"/>
        </w:rPr>
        <w:t xml:space="preserve"> </w:t>
      </w:r>
    </w:p>
    <w:p w14:paraId="2928FF51" w14:textId="77777777" w:rsidR="00FF38FB" w:rsidRPr="002B2821" w:rsidRDefault="00FF38FB" w:rsidP="00E540A0">
      <w:pPr>
        <w:spacing w:after="180" w:line="240" w:lineRule="auto"/>
        <w:rPr>
          <w:rFonts w:asciiTheme="minorHAnsi" w:hAnsiTheme="minorHAnsi" w:cs="Arial"/>
          <w:spacing w:val="-3"/>
          <w:sz w:val="24"/>
          <w:szCs w:val="24"/>
          <w:lang w:eastAsia="en-GB"/>
        </w:rPr>
      </w:pPr>
      <w:r w:rsidRPr="002B2821">
        <w:rPr>
          <w:rFonts w:asciiTheme="minorHAnsi" w:hAnsiTheme="minorHAnsi" w:cs="Arial"/>
          <w:spacing w:val="-3"/>
          <w:sz w:val="24"/>
          <w:szCs w:val="24"/>
          <w:lang w:eastAsia="en-GB"/>
        </w:rPr>
        <w:t>On 12 July 2012 Diageo plc entered into a Deed of Covenant with the Thalidomide Trust which replaced earlier covenants executed by Guinness plc in 1995 and Diageo plc in 2000 and 2005.</w:t>
      </w:r>
    </w:p>
    <w:p w14:paraId="24D7A151" w14:textId="451899F9" w:rsidR="00FF38FB" w:rsidRDefault="00FF38FB" w:rsidP="00E540A0">
      <w:pPr>
        <w:spacing w:after="240"/>
        <w:rPr>
          <w:rFonts w:asciiTheme="minorHAnsi" w:hAnsiTheme="minorHAnsi" w:cs="Arial"/>
          <w:spacing w:val="-3"/>
          <w:sz w:val="24"/>
          <w:szCs w:val="24"/>
          <w:lang w:eastAsia="en-GB"/>
        </w:rPr>
      </w:pPr>
      <w:r w:rsidRPr="002B2821">
        <w:rPr>
          <w:rFonts w:asciiTheme="minorHAnsi" w:hAnsiTheme="minorHAnsi" w:cs="Arial"/>
          <w:spacing w:val="-3"/>
          <w:sz w:val="24"/>
          <w:szCs w:val="24"/>
          <w:lang w:eastAsia="en-GB"/>
        </w:rPr>
        <w:t xml:space="preserve">The </w:t>
      </w:r>
      <w:r w:rsidR="005F396F" w:rsidRPr="002B2821">
        <w:rPr>
          <w:rFonts w:asciiTheme="minorHAnsi" w:hAnsiTheme="minorHAnsi" w:cs="Arial"/>
          <w:spacing w:val="-3"/>
          <w:sz w:val="24"/>
          <w:szCs w:val="24"/>
          <w:lang w:eastAsia="en-GB"/>
        </w:rPr>
        <w:t>2012 C</w:t>
      </w:r>
      <w:r w:rsidRPr="002B2821">
        <w:rPr>
          <w:rFonts w:asciiTheme="minorHAnsi" w:hAnsiTheme="minorHAnsi" w:cs="Arial"/>
          <w:spacing w:val="-3"/>
          <w:sz w:val="24"/>
          <w:szCs w:val="24"/>
          <w:lang w:eastAsia="en-GB"/>
        </w:rPr>
        <w:t xml:space="preserve">ovenant </w:t>
      </w:r>
      <w:r w:rsidR="00334559" w:rsidRPr="002B2821">
        <w:rPr>
          <w:rFonts w:asciiTheme="minorHAnsi" w:hAnsiTheme="minorHAnsi" w:cs="Arial"/>
          <w:spacing w:val="-3"/>
          <w:sz w:val="24"/>
          <w:szCs w:val="24"/>
          <w:lang w:eastAsia="en-GB"/>
        </w:rPr>
        <w:t>was reviewed during 2016</w:t>
      </w:r>
      <w:r w:rsidR="005F396F" w:rsidRPr="002B2821">
        <w:rPr>
          <w:rFonts w:asciiTheme="minorHAnsi" w:hAnsiTheme="minorHAnsi" w:cs="Arial"/>
          <w:spacing w:val="-3"/>
          <w:sz w:val="24"/>
          <w:szCs w:val="24"/>
          <w:lang w:eastAsia="en-GB"/>
        </w:rPr>
        <w:t xml:space="preserve"> and </w:t>
      </w:r>
      <w:r w:rsidR="00C8645B" w:rsidRPr="002B2821">
        <w:rPr>
          <w:rFonts w:asciiTheme="minorHAnsi" w:hAnsiTheme="minorHAnsi" w:cs="Arial"/>
          <w:spacing w:val="-3"/>
          <w:sz w:val="24"/>
          <w:szCs w:val="24"/>
          <w:lang w:eastAsia="en-GB"/>
        </w:rPr>
        <w:t>a</w:t>
      </w:r>
      <w:r w:rsidR="00B467EC">
        <w:rPr>
          <w:rFonts w:asciiTheme="minorHAnsi" w:hAnsiTheme="minorHAnsi" w:cs="Arial"/>
          <w:spacing w:val="-3"/>
          <w:sz w:val="24"/>
          <w:szCs w:val="24"/>
          <w:lang w:eastAsia="en-GB"/>
        </w:rPr>
        <w:t xml:space="preserve"> new Deed of Covenant was formally agreed in the current financial year.</w:t>
      </w:r>
      <w:r w:rsidR="005F396F" w:rsidRPr="002B2821">
        <w:rPr>
          <w:rFonts w:asciiTheme="minorHAnsi" w:hAnsiTheme="minorHAnsi" w:cs="Arial"/>
          <w:spacing w:val="-3"/>
          <w:sz w:val="24"/>
          <w:szCs w:val="24"/>
          <w:lang w:eastAsia="en-GB"/>
        </w:rPr>
        <w:t xml:space="preserve">  Under </w:t>
      </w:r>
      <w:r w:rsidR="00B467EC">
        <w:rPr>
          <w:rFonts w:asciiTheme="minorHAnsi" w:hAnsiTheme="minorHAnsi" w:cs="Arial"/>
          <w:spacing w:val="-3"/>
          <w:sz w:val="24"/>
          <w:szCs w:val="24"/>
          <w:lang w:eastAsia="en-GB"/>
        </w:rPr>
        <w:t xml:space="preserve">the new Covenant </w:t>
      </w:r>
      <w:r w:rsidR="009C043E" w:rsidRPr="002B2821">
        <w:rPr>
          <w:rFonts w:asciiTheme="minorHAnsi" w:hAnsiTheme="minorHAnsi" w:cs="Arial"/>
          <w:spacing w:val="-3"/>
          <w:sz w:val="24"/>
          <w:szCs w:val="24"/>
          <w:lang w:eastAsia="en-GB"/>
        </w:rPr>
        <w:t xml:space="preserve">future increases in the Annual Grant paid to beneficiaries will be in line with the Retail Price Index (RPI.) </w:t>
      </w:r>
    </w:p>
    <w:p w14:paraId="154BC619" w14:textId="77777777" w:rsidR="00D54184" w:rsidRDefault="00D54184" w:rsidP="00E540A0">
      <w:pPr>
        <w:spacing w:after="240"/>
        <w:rPr>
          <w:rFonts w:asciiTheme="minorHAnsi" w:hAnsiTheme="minorHAnsi" w:cs="Arial"/>
          <w:b/>
          <w:color w:val="442359"/>
          <w:sz w:val="24"/>
          <w:szCs w:val="24"/>
        </w:rPr>
      </w:pPr>
    </w:p>
    <w:p w14:paraId="16FB7A56" w14:textId="77777777" w:rsidR="00D54184" w:rsidRDefault="00D54184" w:rsidP="00E540A0">
      <w:pPr>
        <w:spacing w:after="240"/>
        <w:rPr>
          <w:rFonts w:asciiTheme="minorHAnsi" w:hAnsiTheme="minorHAnsi" w:cs="Arial"/>
          <w:b/>
          <w:color w:val="442359"/>
          <w:sz w:val="24"/>
          <w:szCs w:val="24"/>
        </w:rPr>
      </w:pPr>
    </w:p>
    <w:p w14:paraId="5881BE17" w14:textId="141D150C" w:rsidR="00096730" w:rsidRPr="002B2821" w:rsidRDefault="00096730" w:rsidP="00E540A0">
      <w:pPr>
        <w:spacing w:after="240"/>
        <w:rPr>
          <w:rFonts w:asciiTheme="minorHAnsi" w:hAnsiTheme="minorHAnsi" w:cs="Arial"/>
          <w:snapToGrid w:val="0"/>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2018 (continued)</w:t>
      </w:r>
    </w:p>
    <w:p w14:paraId="7F546090" w14:textId="77777777" w:rsidR="0076452F" w:rsidRPr="002B2821" w:rsidRDefault="0076452F" w:rsidP="00096730">
      <w:pPr>
        <w:pStyle w:val="ListParagraph"/>
        <w:numPr>
          <w:ilvl w:val="0"/>
          <w:numId w:val="7"/>
        </w:numPr>
        <w:spacing w:after="120"/>
        <w:rPr>
          <w:rFonts w:asciiTheme="minorHAnsi" w:hAnsiTheme="minorHAnsi" w:cs="Arial"/>
          <w:b/>
          <w:color w:val="442359"/>
          <w:sz w:val="24"/>
          <w:szCs w:val="24"/>
        </w:rPr>
      </w:pPr>
      <w:r w:rsidRPr="002B2821">
        <w:rPr>
          <w:rFonts w:asciiTheme="minorHAnsi" w:hAnsiTheme="minorHAnsi" w:cs="Arial"/>
          <w:b/>
          <w:color w:val="442359"/>
          <w:sz w:val="24"/>
          <w:szCs w:val="24"/>
        </w:rPr>
        <w:t>Investment management fees</w:t>
      </w:r>
    </w:p>
    <w:p w14:paraId="630960BB" w14:textId="77777777" w:rsidR="0076452F" w:rsidRPr="002B2821" w:rsidRDefault="0076452F" w:rsidP="00E540A0">
      <w:pPr>
        <w:spacing w:after="180" w:line="240" w:lineRule="auto"/>
        <w:rPr>
          <w:rFonts w:asciiTheme="minorHAnsi" w:hAnsiTheme="minorHAnsi" w:cs="Arial"/>
          <w:snapToGrid w:val="0"/>
          <w:color w:val="000000"/>
          <w:sz w:val="24"/>
          <w:szCs w:val="24"/>
        </w:rPr>
      </w:pPr>
      <w:r w:rsidRPr="002B2821">
        <w:rPr>
          <w:rFonts w:asciiTheme="minorHAnsi" w:hAnsiTheme="minorHAnsi" w:cs="Arial"/>
          <w:snapToGrid w:val="0"/>
          <w:color w:val="000000"/>
          <w:sz w:val="24"/>
          <w:szCs w:val="24"/>
        </w:rPr>
        <w:t xml:space="preserve">The </w:t>
      </w:r>
      <w:r w:rsidR="00D52307" w:rsidRPr="002B2821">
        <w:rPr>
          <w:rFonts w:asciiTheme="minorHAnsi" w:hAnsiTheme="minorHAnsi" w:cs="Arial"/>
          <w:snapToGrid w:val="0"/>
          <w:color w:val="000000"/>
          <w:sz w:val="24"/>
          <w:szCs w:val="24"/>
        </w:rPr>
        <w:t>I</w:t>
      </w:r>
      <w:r w:rsidRPr="002B2821">
        <w:rPr>
          <w:rFonts w:asciiTheme="minorHAnsi" w:hAnsiTheme="minorHAnsi" w:cs="Arial"/>
          <w:snapToGrid w:val="0"/>
          <w:color w:val="000000"/>
          <w:sz w:val="24"/>
          <w:szCs w:val="24"/>
        </w:rPr>
        <w:t xml:space="preserve">nvestment </w:t>
      </w:r>
      <w:r w:rsidR="00D52307" w:rsidRPr="002B2821">
        <w:rPr>
          <w:rFonts w:asciiTheme="minorHAnsi" w:hAnsiTheme="minorHAnsi" w:cs="Arial"/>
          <w:snapToGrid w:val="0"/>
          <w:color w:val="000000"/>
          <w:sz w:val="24"/>
          <w:szCs w:val="24"/>
        </w:rPr>
        <w:t>M</w:t>
      </w:r>
      <w:r w:rsidRPr="002B2821">
        <w:rPr>
          <w:rFonts w:asciiTheme="minorHAnsi" w:hAnsiTheme="minorHAnsi" w:cs="Arial"/>
          <w:snapToGrid w:val="0"/>
          <w:color w:val="000000"/>
          <w:sz w:val="24"/>
          <w:szCs w:val="24"/>
        </w:rPr>
        <w:t xml:space="preserve">anagers charge a fee for their services based upon an agreed percentage of the market value of the investments under management and a performance related fee. </w:t>
      </w:r>
    </w:p>
    <w:p w14:paraId="79D0DFD7" w14:textId="76839DD5" w:rsidR="0076452F" w:rsidRPr="002B2821" w:rsidRDefault="00D52307" w:rsidP="00E540A0">
      <w:pPr>
        <w:spacing w:after="180" w:line="240" w:lineRule="auto"/>
        <w:rPr>
          <w:rFonts w:asciiTheme="minorHAnsi" w:hAnsiTheme="minorHAnsi" w:cs="Arial"/>
          <w:snapToGrid w:val="0"/>
          <w:color w:val="000000"/>
          <w:sz w:val="24"/>
          <w:szCs w:val="24"/>
        </w:rPr>
      </w:pPr>
      <w:r w:rsidRPr="002B2821">
        <w:rPr>
          <w:rFonts w:asciiTheme="minorHAnsi" w:hAnsiTheme="minorHAnsi" w:cs="Arial"/>
          <w:snapToGrid w:val="0"/>
          <w:color w:val="000000"/>
          <w:sz w:val="24"/>
          <w:szCs w:val="24"/>
        </w:rPr>
        <w:t>The I</w:t>
      </w:r>
      <w:r w:rsidR="0076452F" w:rsidRPr="002B2821">
        <w:rPr>
          <w:rFonts w:asciiTheme="minorHAnsi" w:hAnsiTheme="minorHAnsi" w:cs="Arial"/>
          <w:snapToGrid w:val="0"/>
          <w:color w:val="000000"/>
          <w:sz w:val="24"/>
          <w:szCs w:val="24"/>
        </w:rPr>
        <w:t xml:space="preserve">nvestment </w:t>
      </w:r>
      <w:r w:rsidRPr="002B2821">
        <w:rPr>
          <w:rFonts w:asciiTheme="minorHAnsi" w:hAnsiTheme="minorHAnsi" w:cs="Arial"/>
          <w:snapToGrid w:val="0"/>
          <w:color w:val="000000"/>
          <w:sz w:val="24"/>
          <w:szCs w:val="24"/>
        </w:rPr>
        <w:t>M</w:t>
      </w:r>
      <w:r w:rsidR="0076452F" w:rsidRPr="002B2821">
        <w:rPr>
          <w:rFonts w:asciiTheme="minorHAnsi" w:hAnsiTheme="minorHAnsi" w:cs="Arial"/>
          <w:snapToGrid w:val="0"/>
          <w:color w:val="000000"/>
          <w:sz w:val="24"/>
          <w:szCs w:val="24"/>
        </w:rPr>
        <w:t>anagers’ fees charged for the year amounted to £</w:t>
      </w:r>
      <w:r w:rsidR="00163103" w:rsidRPr="002B2821">
        <w:rPr>
          <w:rFonts w:asciiTheme="minorHAnsi" w:hAnsiTheme="minorHAnsi" w:cs="Arial"/>
          <w:snapToGrid w:val="0"/>
          <w:color w:val="000000"/>
          <w:sz w:val="24"/>
          <w:szCs w:val="24"/>
        </w:rPr>
        <w:t>263</w:t>
      </w:r>
      <w:r w:rsidR="0076452F" w:rsidRPr="002B2821">
        <w:rPr>
          <w:rFonts w:asciiTheme="minorHAnsi" w:hAnsiTheme="minorHAnsi" w:cs="Arial"/>
          <w:snapToGrid w:val="0"/>
          <w:color w:val="000000"/>
          <w:sz w:val="24"/>
          <w:szCs w:val="24"/>
        </w:rPr>
        <w:t>,000 (201</w:t>
      </w:r>
      <w:r w:rsidR="00163103" w:rsidRPr="002B2821">
        <w:rPr>
          <w:rFonts w:asciiTheme="minorHAnsi" w:hAnsiTheme="minorHAnsi" w:cs="Arial"/>
          <w:snapToGrid w:val="0"/>
          <w:color w:val="000000"/>
          <w:sz w:val="24"/>
          <w:szCs w:val="24"/>
        </w:rPr>
        <w:t>7</w:t>
      </w:r>
      <w:r w:rsidR="0076452F" w:rsidRPr="002B2821">
        <w:rPr>
          <w:rFonts w:asciiTheme="minorHAnsi" w:hAnsiTheme="minorHAnsi" w:cs="Arial"/>
          <w:snapToGrid w:val="0"/>
          <w:color w:val="000000"/>
          <w:sz w:val="24"/>
          <w:szCs w:val="24"/>
        </w:rPr>
        <w:t>: £</w:t>
      </w:r>
      <w:r w:rsidR="00163103" w:rsidRPr="002B2821">
        <w:rPr>
          <w:rFonts w:asciiTheme="minorHAnsi" w:hAnsiTheme="minorHAnsi" w:cs="Arial"/>
          <w:snapToGrid w:val="0"/>
          <w:color w:val="000000"/>
          <w:sz w:val="24"/>
          <w:szCs w:val="24"/>
        </w:rPr>
        <w:t>350,000</w:t>
      </w:r>
      <w:r w:rsidR="008016A6" w:rsidRPr="002B2821">
        <w:rPr>
          <w:rFonts w:asciiTheme="minorHAnsi" w:hAnsiTheme="minorHAnsi" w:cs="Arial"/>
          <w:snapToGrid w:val="0"/>
          <w:color w:val="000000"/>
          <w:sz w:val="24"/>
          <w:szCs w:val="24"/>
        </w:rPr>
        <w:t>)</w:t>
      </w:r>
      <w:r w:rsidR="0076452F" w:rsidRPr="002B2821">
        <w:rPr>
          <w:rFonts w:asciiTheme="minorHAnsi" w:hAnsiTheme="minorHAnsi" w:cs="Arial"/>
          <w:snapToGrid w:val="0"/>
          <w:color w:val="000000"/>
          <w:sz w:val="24"/>
          <w:szCs w:val="24"/>
        </w:rPr>
        <w:t>.</w:t>
      </w:r>
    </w:p>
    <w:p w14:paraId="5D282940" w14:textId="40A95544" w:rsidR="0076452F" w:rsidRPr="002B2821" w:rsidRDefault="0076452F" w:rsidP="00E540A0">
      <w:pPr>
        <w:spacing w:after="180" w:line="240" w:lineRule="auto"/>
        <w:rPr>
          <w:rFonts w:asciiTheme="minorHAnsi" w:hAnsiTheme="minorHAnsi" w:cs="Arial"/>
          <w:snapToGrid w:val="0"/>
          <w:sz w:val="24"/>
          <w:szCs w:val="24"/>
        </w:rPr>
      </w:pPr>
      <w:r w:rsidRPr="002B2821">
        <w:rPr>
          <w:rFonts w:asciiTheme="minorHAnsi" w:hAnsiTheme="minorHAnsi" w:cs="Arial"/>
          <w:snapToGrid w:val="0"/>
          <w:color w:val="000000"/>
          <w:sz w:val="24"/>
          <w:szCs w:val="24"/>
        </w:rPr>
        <w:t xml:space="preserve">In addition to the </w:t>
      </w:r>
      <w:r w:rsidR="00D52307" w:rsidRPr="002B2821">
        <w:rPr>
          <w:rFonts w:asciiTheme="minorHAnsi" w:hAnsiTheme="minorHAnsi" w:cs="Arial"/>
          <w:snapToGrid w:val="0"/>
          <w:color w:val="000000"/>
          <w:sz w:val="24"/>
          <w:szCs w:val="24"/>
        </w:rPr>
        <w:t>I</w:t>
      </w:r>
      <w:r w:rsidRPr="002B2821">
        <w:rPr>
          <w:rFonts w:asciiTheme="minorHAnsi" w:hAnsiTheme="minorHAnsi" w:cs="Arial"/>
          <w:snapToGrid w:val="0"/>
          <w:color w:val="000000"/>
          <w:sz w:val="24"/>
          <w:szCs w:val="24"/>
        </w:rPr>
        <w:t xml:space="preserve">nvestment </w:t>
      </w:r>
      <w:r w:rsidR="00D52307" w:rsidRPr="002B2821">
        <w:rPr>
          <w:rFonts w:asciiTheme="minorHAnsi" w:hAnsiTheme="minorHAnsi" w:cs="Arial"/>
          <w:snapToGrid w:val="0"/>
          <w:color w:val="000000"/>
          <w:sz w:val="24"/>
          <w:szCs w:val="24"/>
        </w:rPr>
        <w:t>M</w:t>
      </w:r>
      <w:r w:rsidRPr="002B2821">
        <w:rPr>
          <w:rFonts w:asciiTheme="minorHAnsi" w:hAnsiTheme="minorHAnsi" w:cs="Arial"/>
          <w:snapToGrid w:val="0"/>
          <w:color w:val="000000"/>
          <w:sz w:val="24"/>
          <w:szCs w:val="24"/>
        </w:rPr>
        <w:t>anagers’ fees</w:t>
      </w:r>
      <w:r w:rsidR="000E1077">
        <w:rPr>
          <w:rFonts w:asciiTheme="minorHAnsi" w:hAnsiTheme="minorHAnsi" w:cs="Arial"/>
          <w:snapToGrid w:val="0"/>
          <w:color w:val="000000"/>
          <w:sz w:val="24"/>
          <w:szCs w:val="24"/>
        </w:rPr>
        <w:t>,</w:t>
      </w:r>
      <w:r w:rsidRPr="002B2821">
        <w:rPr>
          <w:rFonts w:asciiTheme="minorHAnsi" w:hAnsiTheme="minorHAnsi" w:cs="Arial"/>
          <w:snapToGrid w:val="0"/>
          <w:color w:val="000000"/>
          <w:sz w:val="24"/>
          <w:szCs w:val="24"/>
        </w:rPr>
        <w:t xml:space="preserve"> </w:t>
      </w:r>
      <w:r w:rsidRPr="002B2821">
        <w:rPr>
          <w:rFonts w:asciiTheme="minorHAnsi" w:hAnsiTheme="minorHAnsi" w:cs="Arial"/>
          <w:snapToGrid w:val="0"/>
          <w:sz w:val="24"/>
          <w:szCs w:val="24"/>
        </w:rPr>
        <w:t xml:space="preserve">Trust costs relating to investment management were </w:t>
      </w:r>
      <w:r w:rsidRPr="002B2821">
        <w:rPr>
          <w:rFonts w:asciiTheme="minorHAnsi" w:hAnsiTheme="minorHAnsi" w:cs="Arial"/>
          <w:snapToGrid w:val="0"/>
          <w:color w:val="000000"/>
          <w:sz w:val="24"/>
          <w:szCs w:val="24"/>
        </w:rPr>
        <w:t>£</w:t>
      </w:r>
      <w:r w:rsidR="00AD493F" w:rsidRPr="002B2821">
        <w:rPr>
          <w:rFonts w:asciiTheme="minorHAnsi" w:hAnsiTheme="minorHAnsi" w:cs="Arial"/>
          <w:snapToGrid w:val="0"/>
          <w:color w:val="000000"/>
          <w:sz w:val="24"/>
          <w:szCs w:val="24"/>
        </w:rPr>
        <w:t>2</w:t>
      </w:r>
      <w:r w:rsidR="003F461B" w:rsidRPr="002B2821">
        <w:rPr>
          <w:rFonts w:asciiTheme="minorHAnsi" w:hAnsiTheme="minorHAnsi" w:cs="Arial"/>
          <w:snapToGrid w:val="0"/>
          <w:color w:val="000000"/>
          <w:sz w:val="24"/>
          <w:szCs w:val="24"/>
        </w:rPr>
        <w:t>1</w:t>
      </w:r>
      <w:r w:rsidRPr="002B2821">
        <w:rPr>
          <w:rFonts w:asciiTheme="minorHAnsi" w:hAnsiTheme="minorHAnsi" w:cs="Arial"/>
          <w:snapToGrid w:val="0"/>
          <w:color w:val="000000"/>
          <w:sz w:val="24"/>
          <w:szCs w:val="24"/>
        </w:rPr>
        <w:t xml:space="preserve">,000 </w:t>
      </w:r>
      <w:r w:rsidRPr="002B2821">
        <w:rPr>
          <w:rFonts w:asciiTheme="minorHAnsi" w:hAnsiTheme="minorHAnsi" w:cs="Arial"/>
          <w:snapToGrid w:val="0"/>
          <w:sz w:val="24"/>
          <w:szCs w:val="24"/>
        </w:rPr>
        <w:t>(201</w:t>
      </w:r>
      <w:r w:rsidR="00163103" w:rsidRPr="002B2821">
        <w:rPr>
          <w:rFonts w:asciiTheme="minorHAnsi" w:hAnsiTheme="minorHAnsi" w:cs="Arial"/>
          <w:snapToGrid w:val="0"/>
          <w:sz w:val="24"/>
          <w:szCs w:val="24"/>
        </w:rPr>
        <w:t>7</w:t>
      </w:r>
      <w:r w:rsidRPr="002B2821">
        <w:rPr>
          <w:rFonts w:asciiTheme="minorHAnsi" w:hAnsiTheme="minorHAnsi" w:cs="Arial"/>
          <w:snapToGrid w:val="0"/>
          <w:sz w:val="24"/>
          <w:szCs w:val="24"/>
        </w:rPr>
        <w:t>: £</w:t>
      </w:r>
      <w:r w:rsidR="00163103" w:rsidRPr="002B2821">
        <w:rPr>
          <w:rFonts w:asciiTheme="minorHAnsi" w:hAnsiTheme="minorHAnsi" w:cs="Arial"/>
          <w:snapToGrid w:val="0"/>
          <w:sz w:val="24"/>
          <w:szCs w:val="24"/>
        </w:rPr>
        <w:t>2</w:t>
      </w:r>
      <w:r w:rsidR="008016A6" w:rsidRPr="002B2821">
        <w:rPr>
          <w:rFonts w:asciiTheme="minorHAnsi" w:hAnsiTheme="minorHAnsi" w:cs="Arial"/>
          <w:snapToGrid w:val="0"/>
          <w:sz w:val="24"/>
          <w:szCs w:val="24"/>
        </w:rPr>
        <w:t>5</w:t>
      </w:r>
      <w:r w:rsidRPr="002B2821">
        <w:rPr>
          <w:rFonts w:asciiTheme="minorHAnsi" w:hAnsiTheme="minorHAnsi" w:cs="Arial"/>
          <w:snapToGrid w:val="0"/>
          <w:sz w:val="24"/>
          <w:szCs w:val="24"/>
        </w:rPr>
        <w:t>,000), which comprise</w:t>
      </w:r>
      <w:r w:rsidR="00AD493F" w:rsidRPr="002B2821">
        <w:rPr>
          <w:rFonts w:asciiTheme="minorHAnsi" w:hAnsiTheme="minorHAnsi" w:cs="Arial"/>
          <w:snapToGrid w:val="0"/>
          <w:sz w:val="24"/>
          <w:szCs w:val="24"/>
        </w:rPr>
        <w:t>d of</w:t>
      </w:r>
      <w:r w:rsidRPr="002B2821">
        <w:rPr>
          <w:rFonts w:asciiTheme="minorHAnsi" w:hAnsiTheme="minorHAnsi" w:cs="Arial"/>
          <w:snapToGrid w:val="0"/>
          <w:color w:val="000000"/>
          <w:sz w:val="24"/>
          <w:szCs w:val="24"/>
        </w:rPr>
        <w:t xml:space="preserve"> </w:t>
      </w:r>
      <w:r w:rsidRPr="002B2821">
        <w:rPr>
          <w:rFonts w:asciiTheme="minorHAnsi" w:hAnsiTheme="minorHAnsi" w:cs="Arial"/>
          <w:snapToGrid w:val="0"/>
          <w:sz w:val="24"/>
          <w:szCs w:val="24"/>
        </w:rPr>
        <w:t>unrestricted costs</w:t>
      </w:r>
      <w:r w:rsidR="009A70E4" w:rsidRPr="002B2821">
        <w:rPr>
          <w:rFonts w:asciiTheme="minorHAnsi" w:hAnsiTheme="minorHAnsi" w:cs="Arial"/>
          <w:snapToGrid w:val="0"/>
          <w:sz w:val="24"/>
          <w:szCs w:val="24"/>
        </w:rPr>
        <w:t xml:space="preserve"> of £2</w:t>
      </w:r>
      <w:r w:rsidR="00EB51E9" w:rsidRPr="002B2821">
        <w:rPr>
          <w:rFonts w:asciiTheme="minorHAnsi" w:hAnsiTheme="minorHAnsi" w:cs="Arial"/>
          <w:snapToGrid w:val="0"/>
          <w:sz w:val="24"/>
          <w:szCs w:val="24"/>
        </w:rPr>
        <w:t>0,000 and restricted costs of £1</w:t>
      </w:r>
      <w:r w:rsidR="009A70E4" w:rsidRPr="002B2821">
        <w:rPr>
          <w:rFonts w:asciiTheme="minorHAnsi" w:hAnsiTheme="minorHAnsi" w:cs="Arial"/>
          <w:snapToGrid w:val="0"/>
          <w:sz w:val="24"/>
          <w:szCs w:val="24"/>
        </w:rPr>
        <w:t>,000</w:t>
      </w:r>
      <w:r w:rsidR="00AD493F" w:rsidRPr="002B2821">
        <w:rPr>
          <w:rFonts w:asciiTheme="minorHAnsi" w:hAnsiTheme="minorHAnsi" w:cs="Arial"/>
          <w:snapToGrid w:val="0"/>
          <w:sz w:val="24"/>
          <w:szCs w:val="24"/>
        </w:rPr>
        <w:t>.</w:t>
      </w:r>
      <w:r w:rsidRPr="002B2821">
        <w:rPr>
          <w:rFonts w:asciiTheme="minorHAnsi" w:hAnsiTheme="minorHAnsi" w:cs="Arial"/>
          <w:snapToGrid w:val="0"/>
          <w:sz w:val="24"/>
          <w:szCs w:val="24"/>
        </w:rPr>
        <w:t xml:space="preserve"> </w:t>
      </w:r>
    </w:p>
    <w:p w14:paraId="1BADF9C1" w14:textId="77777777" w:rsidR="00387380" w:rsidRPr="002B2821" w:rsidRDefault="00387380" w:rsidP="00096730">
      <w:pPr>
        <w:spacing w:after="120" w:line="240" w:lineRule="auto"/>
        <w:rPr>
          <w:rFonts w:asciiTheme="minorHAnsi" w:hAnsiTheme="minorHAnsi" w:cs="Arial"/>
          <w:snapToGrid w:val="0"/>
          <w:color w:val="442359"/>
          <w:sz w:val="24"/>
          <w:szCs w:val="24"/>
        </w:rPr>
      </w:pPr>
      <w:r w:rsidRPr="002B2821">
        <w:rPr>
          <w:rFonts w:asciiTheme="minorHAnsi" w:hAnsiTheme="minorHAnsi" w:cs="Arial"/>
          <w:b/>
          <w:color w:val="442359"/>
          <w:sz w:val="24"/>
          <w:szCs w:val="24"/>
        </w:rPr>
        <w:t>5</w:t>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t xml:space="preserve">    </w:t>
      </w:r>
      <w:proofErr w:type="spellStart"/>
      <w:r w:rsidRPr="002B2821">
        <w:rPr>
          <w:rFonts w:asciiTheme="minorHAnsi" w:hAnsiTheme="minorHAnsi" w:cs="Arial"/>
          <w:b/>
          <w:color w:val="442359"/>
          <w:sz w:val="24"/>
          <w:szCs w:val="24"/>
        </w:rPr>
        <w:t>Grantmaking</w:t>
      </w:r>
      <w:proofErr w:type="spellEnd"/>
    </w:p>
    <w:p w14:paraId="7C532BAA" w14:textId="77777777" w:rsidR="00387380" w:rsidRPr="002B2821" w:rsidRDefault="00387380" w:rsidP="00096730">
      <w:pPr>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Unrestricted Funds: General Grants</w:t>
      </w:r>
    </w:p>
    <w:p w14:paraId="1DBF0EB3" w14:textId="77777777" w:rsidR="00387380" w:rsidRPr="002B2821" w:rsidRDefault="00387380" w:rsidP="00E540A0">
      <w:pPr>
        <w:spacing w:after="180" w:line="240" w:lineRule="auto"/>
        <w:rPr>
          <w:rFonts w:asciiTheme="minorHAnsi" w:hAnsiTheme="minorHAnsi" w:cs="Arial"/>
          <w:spacing w:val="-3"/>
          <w:kern w:val="2"/>
          <w:sz w:val="24"/>
          <w:szCs w:val="24"/>
        </w:rPr>
      </w:pPr>
      <w:r w:rsidRPr="002B2821">
        <w:rPr>
          <w:rFonts w:asciiTheme="minorHAnsi" w:hAnsiTheme="minorHAnsi" w:cs="Arial"/>
          <w:spacing w:val="-3"/>
          <w:kern w:val="2"/>
          <w:sz w:val="24"/>
          <w:szCs w:val="24"/>
        </w:rPr>
        <w:t>The trustees’ grant making policy has been:</w:t>
      </w:r>
    </w:p>
    <w:p w14:paraId="45A398E8" w14:textId="21238413" w:rsidR="00387380" w:rsidRPr="002B2821" w:rsidRDefault="00387380" w:rsidP="00096730">
      <w:pPr>
        <w:pStyle w:val="Subtitle"/>
        <w:spacing w:after="120" w:line="240" w:lineRule="auto"/>
        <w:rPr>
          <w:rFonts w:asciiTheme="minorHAnsi" w:hAnsiTheme="minorHAnsi" w:cs="Arial"/>
          <w:color w:val="442359"/>
          <w:sz w:val="24"/>
          <w:szCs w:val="24"/>
        </w:rPr>
      </w:pPr>
      <w:r w:rsidRPr="002B2821">
        <w:rPr>
          <w:rFonts w:asciiTheme="minorHAnsi" w:hAnsiTheme="minorHAnsi" w:cs="Arial"/>
          <w:color w:val="442359"/>
          <w:sz w:val="24"/>
          <w:szCs w:val="24"/>
        </w:rPr>
        <w:t xml:space="preserve">For beneficiaries </w:t>
      </w:r>
      <w:r>
        <w:rPr>
          <w:rFonts w:asciiTheme="minorHAnsi" w:hAnsiTheme="minorHAnsi" w:cs="Arial"/>
          <w:color w:val="442359"/>
          <w:sz w:val="24"/>
          <w:szCs w:val="24"/>
        </w:rPr>
        <w:t xml:space="preserve">with capacity to manage </w:t>
      </w:r>
      <w:r w:rsidRPr="002B2821">
        <w:rPr>
          <w:rFonts w:asciiTheme="minorHAnsi" w:hAnsiTheme="minorHAnsi" w:cs="Arial"/>
          <w:color w:val="442359"/>
          <w:sz w:val="24"/>
          <w:szCs w:val="24"/>
        </w:rPr>
        <w:t>their financial affairs</w:t>
      </w:r>
    </w:p>
    <w:p w14:paraId="302DD8BE" w14:textId="68E4F941" w:rsidR="00387380" w:rsidRPr="002B2821" w:rsidRDefault="00387380" w:rsidP="00E540A0">
      <w:pPr>
        <w:pStyle w:val="BodyText2"/>
        <w:spacing w:after="180" w:line="240" w:lineRule="auto"/>
        <w:rPr>
          <w:rFonts w:asciiTheme="minorHAnsi" w:hAnsiTheme="minorHAnsi" w:cs="Arial"/>
          <w:sz w:val="24"/>
          <w:szCs w:val="24"/>
        </w:rPr>
      </w:pPr>
      <w:r w:rsidRPr="002B2821">
        <w:rPr>
          <w:rFonts w:asciiTheme="minorHAnsi" w:hAnsiTheme="minorHAnsi" w:cs="Arial"/>
          <w:sz w:val="24"/>
          <w:szCs w:val="24"/>
        </w:rPr>
        <w:t>The trustees maintain a non-interest bearing nominee account for each beneficiary.</w:t>
      </w:r>
    </w:p>
    <w:p w14:paraId="69E0D068" w14:textId="77777777" w:rsidR="00387380" w:rsidRPr="002B2821" w:rsidRDefault="00387380" w:rsidP="00E540A0">
      <w:pPr>
        <w:pStyle w:val="BodyTextIndent3"/>
        <w:spacing w:after="180" w:line="240" w:lineRule="auto"/>
        <w:ind w:left="0"/>
        <w:rPr>
          <w:rFonts w:asciiTheme="minorHAnsi" w:hAnsiTheme="minorHAnsi" w:cs="Arial"/>
          <w:sz w:val="24"/>
          <w:szCs w:val="24"/>
        </w:rPr>
      </w:pPr>
      <w:r w:rsidRPr="002B2821">
        <w:rPr>
          <w:rFonts w:asciiTheme="minorHAnsi" w:hAnsiTheme="minorHAnsi" w:cs="Arial"/>
          <w:sz w:val="24"/>
          <w:szCs w:val="24"/>
        </w:rPr>
        <w:t xml:space="preserve">An Annual Grant is paid into the nominee account. A beneficiary has absolute entitlement to the balance in his or her nominee account and the balance is recognised as a liability of the Trust. Beneficiaries can instruct the Trust to make payments up to the balance in their nominee accounts from which they have entire discretion over the payee, amount and frequency of the payments. </w:t>
      </w:r>
    </w:p>
    <w:p w14:paraId="70A80862" w14:textId="12AA00CD" w:rsidR="00387380" w:rsidRPr="002B2821" w:rsidRDefault="00387380" w:rsidP="00E540A0">
      <w:pPr>
        <w:pStyle w:val="BodyTextIndent3"/>
        <w:spacing w:after="180" w:line="240" w:lineRule="auto"/>
        <w:ind w:left="0"/>
        <w:rPr>
          <w:rFonts w:asciiTheme="minorHAnsi" w:hAnsiTheme="minorHAnsi" w:cs="Arial"/>
          <w:sz w:val="24"/>
          <w:szCs w:val="24"/>
        </w:rPr>
      </w:pPr>
      <w:r w:rsidRPr="002B2821">
        <w:rPr>
          <w:rFonts w:asciiTheme="minorHAnsi" w:hAnsiTheme="minorHAnsi" w:cs="Arial"/>
          <w:sz w:val="24"/>
          <w:szCs w:val="24"/>
        </w:rPr>
        <w:t>The Annual Grant is calculated with reference to the financial position of the Trust and each beneficiary’s degree of disability, in accordance with the criteria applicable to distributions set out in the Trust Deed. The trustees reserve the right to amend the method of calculating the Annual Grant.</w:t>
      </w:r>
    </w:p>
    <w:p w14:paraId="7956994D" w14:textId="13AE6AB7" w:rsidR="00387380" w:rsidRPr="002B2821" w:rsidRDefault="00387380" w:rsidP="00E540A0">
      <w:pPr>
        <w:pStyle w:val="BodyTextIndent3"/>
        <w:spacing w:after="180" w:line="240" w:lineRule="auto"/>
        <w:ind w:left="0"/>
        <w:rPr>
          <w:rFonts w:asciiTheme="minorHAnsi" w:hAnsiTheme="minorHAnsi" w:cs="Arial"/>
          <w:sz w:val="24"/>
          <w:szCs w:val="24"/>
        </w:rPr>
      </w:pPr>
      <w:r w:rsidRPr="002B2821">
        <w:rPr>
          <w:rFonts w:asciiTheme="minorHAnsi" w:hAnsiTheme="minorHAnsi" w:cs="Arial"/>
          <w:sz w:val="24"/>
          <w:szCs w:val="24"/>
        </w:rPr>
        <w:t>In addition to the Annual Grant, the trustees will consider requests for Major Advances (normally relating to significant one-off costs to meet mobility and housing needs)</w:t>
      </w:r>
      <w:r>
        <w:rPr>
          <w:rFonts w:asciiTheme="minorHAnsi" w:hAnsiTheme="minorHAnsi" w:cs="Arial"/>
          <w:sz w:val="24"/>
          <w:szCs w:val="24"/>
        </w:rPr>
        <w:t>, Short-Term Advances (to enable beneficiaries to make a transition in their housing arrangements where there are complex needs)</w:t>
      </w:r>
      <w:r w:rsidRPr="002B2821">
        <w:rPr>
          <w:rFonts w:asciiTheme="minorHAnsi" w:hAnsiTheme="minorHAnsi" w:cs="Arial"/>
          <w:sz w:val="24"/>
          <w:szCs w:val="24"/>
        </w:rPr>
        <w:t xml:space="preserve"> and Emergency Advances (to meet unanticipated costs in the short term). </w:t>
      </w:r>
    </w:p>
    <w:p w14:paraId="466DCA3B" w14:textId="77777777" w:rsidR="00387380" w:rsidRPr="002B2821" w:rsidRDefault="00387380" w:rsidP="00E540A0">
      <w:pPr>
        <w:pStyle w:val="BodyTextIndent3"/>
        <w:spacing w:after="180" w:line="240" w:lineRule="auto"/>
        <w:ind w:left="0"/>
        <w:rPr>
          <w:rFonts w:asciiTheme="minorHAnsi" w:hAnsiTheme="minorHAnsi" w:cs="Arial"/>
          <w:snapToGrid w:val="0"/>
          <w:sz w:val="24"/>
          <w:szCs w:val="24"/>
        </w:rPr>
      </w:pPr>
      <w:r w:rsidRPr="002B2821">
        <w:rPr>
          <w:rFonts w:asciiTheme="minorHAnsi" w:hAnsiTheme="minorHAnsi" w:cs="Arial"/>
          <w:sz w:val="24"/>
          <w:szCs w:val="24"/>
        </w:rPr>
        <w:t>Where a Major</w:t>
      </w:r>
      <w:r>
        <w:rPr>
          <w:rFonts w:asciiTheme="minorHAnsi" w:hAnsiTheme="minorHAnsi" w:cs="Arial"/>
          <w:sz w:val="24"/>
          <w:szCs w:val="24"/>
        </w:rPr>
        <w:t>, Short-Term</w:t>
      </w:r>
      <w:r w:rsidRPr="002B2821">
        <w:rPr>
          <w:rFonts w:asciiTheme="minorHAnsi" w:hAnsiTheme="minorHAnsi" w:cs="Arial"/>
          <w:sz w:val="24"/>
          <w:szCs w:val="24"/>
        </w:rPr>
        <w:t xml:space="preserve"> or Emergency Advance has been made, future Annual Grants will be reduced by the amortisation of the Advance and an agreed annual fee to reflect the costs associated with making the Advance and the reduction in the Trust’s investment assets as a result of the Advances.  Major Advances will normally result in a reduction to the Annual Grants for a number of years</w:t>
      </w:r>
      <w:r>
        <w:rPr>
          <w:rFonts w:asciiTheme="minorHAnsi" w:hAnsiTheme="minorHAnsi" w:cs="Arial"/>
          <w:sz w:val="24"/>
          <w:szCs w:val="24"/>
        </w:rPr>
        <w:t xml:space="preserve"> whereas Short-Term</w:t>
      </w:r>
      <w:r w:rsidRPr="002B2821">
        <w:rPr>
          <w:rFonts w:asciiTheme="minorHAnsi" w:hAnsiTheme="minorHAnsi" w:cs="Arial"/>
          <w:sz w:val="24"/>
          <w:szCs w:val="24"/>
        </w:rPr>
        <w:t xml:space="preserve"> and Emergency Advances will normally result in a reduction to the following year’s Annual Grant. </w:t>
      </w:r>
    </w:p>
    <w:p w14:paraId="21C34472" w14:textId="77777777" w:rsidR="00096730" w:rsidRPr="002B2821" w:rsidRDefault="00096730" w:rsidP="00096730">
      <w:pPr>
        <w:pStyle w:val="BodyText"/>
        <w:spacing w:after="180" w:line="240" w:lineRule="auto"/>
        <w:rPr>
          <w:rFonts w:asciiTheme="minorHAnsi" w:hAnsiTheme="minorHAnsi" w:cs="Arial"/>
          <w:snapToGrid w:val="0"/>
          <w:color w:val="442359"/>
          <w:sz w:val="24"/>
          <w:szCs w:val="24"/>
        </w:rPr>
      </w:pPr>
      <w:r w:rsidRPr="002B2821">
        <w:rPr>
          <w:rFonts w:asciiTheme="minorHAnsi" w:hAnsiTheme="minorHAnsi" w:cs="Arial"/>
          <w:b/>
          <w:bCs/>
          <w:color w:val="442359"/>
          <w:sz w:val="24"/>
          <w:szCs w:val="24"/>
        </w:rPr>
        <w:t>For beneficiaries who lack capacity</w:t>
      </w:r>
      <w:r>
        <w:rPr>
          <w:rFonts w:asciiTheme="minorHAnsi" w:hAnsiTheme="minorHAnsi" w:cs="Arial"/>
          <w:b/>
          <w:bCs/>
          <w:color w:val="442359"/>
          <w:sz w:val="24"/>
          <w:szCs w:val="24"/>
        </w:rPr>
        <w:t xml:space="preserve"> to manage their financial affairs</w:t>
      </w:r>
    </w:p>
    <w:p w14:paraId="5B2590E5" w14:textId="77777777" w:rsidR="00096730" w:rsidRPr="002B2821" w:rsidRDefault="00096730" w:rsidP="00096730">
      <w:pPr>
        <w:pStyle w:val="BodyTextIndent"/>
        <w:spacing w:after="180" w:line="240" w:lineRule="auto"/>
        <w:ind w:left="0"/>
        <w:rPr>
          <w:rFonts w:asciiTheme="minorHAnsi" w:hAnsiTheme="minorHAnsi" w:cs="Arial"/>
          <w:sz w:val="24"/>
          <w:szCs w:val="24"/>
        </w:rPr>
      </w:pPr>
      <w:r w:rsidRPr="002B2821">
        <w:rPr>
          <w:rFonts w:asciiTheme="minorHAnsi" w:hAnsiTheme="minorHAnsi" w:cs="Arial"/>
          <w:sz w:val="24"/>
          <w:szCs w:val="24"/>
        </w:rPr>
        <w:t xml:space="preserve">The trustees make payments to meet the needs of the beneficiary following discussion with the beneficiary’s deputy or attorney officially registered </w:t>
      </w:r>
      <w:r>
        <w:rPr>
          <w:rFonts w:asciiTheme="minorHAnsi" w:hAnsiTheme="minorHAnsi" w:cs="Arial"/>
          <w:sz w:val="24"/>
          <w:szCs w:val="24"/>
        </w:rPr>
        <w:t xml:space="preserve">with the Court of Protection </w:t>
      </w:r>
      <w:r w:rsidRPr="002B2821">
        <w:rPr>
          <w:rFonts w:asciiTheme="minorHAnsi" w:hAnsiTheme="minorHAnsi" w:cs="Arial"/>
          <w:sz w:val="24"/>
          <w:szCs w:val="24"/>
        </w:rPr>
        <w:t>to manage the beneficiary’s financial affairs. Once funds have been transferred to the deputy or attorney for the benefit of the beneficiary, control of these funds passes absolutely out of the Trust.</w:t>
      </w:r>
      <w:r>
        <w:rPr>
          <w:rFonts w:asciiTheme="minorHAnsi" w:hAnsiTheme="minorHAnsi" w:cs="Arial"/>
          <w:sz w:val="24"/>
          <w:szCs w:val="24"/>
        </w:rPr>
        <w:t xml:space="preserve"> However, in line with Trust’s policy on beneficiaries who lack capacity, there is a requirement for regular reporting on how these funds are utilised to meet the needs of the beneficiary and professional oversight.</w:t>
      </w:r>
    </w:p>
    <w:p w14:paraId="1244FA7A" w14:textId="0708AA01" w:rsidR="00E72D30" w:rsidRDefault="00E72D30" w:rsidP="00E540A0">
      <w:pPr>
        <w:spacing w:after="180" w:line="240" w:lineRule="auto"/>
        <w:rPr>
          <w:rFonts w:asciiTheme="minorHAnsi" w:hAnsiTheme="minorHAnsi" w:cs="Arial"/>
          <w:snapToGrid w:val="0"/>
          <w:sz w:val="24"/>
          <w:szCs w:val="24"/>
        </w:rPr>
      </w:pPr>
      <w:r>
        <w:rPr>
          <w:rFonts w:asciiTheme="minorHAnsi" w:hAnsiTheme="minorHAnsi" w:cs="Arial"/>
          <w:snapToGrid w:val="0"/>
          <w:sz w:val="24"/>
          <w:szCs w:val="24"/>
        </w:rPr>
        <w:br w:type="page"/>
      </w:r>
    </w:p>
    <w:p w14:paraId="726E8D3A" w14:textId="77777777" w:rsidR="00EB51E9" w:rsidRPr="002B2821" w:rsidRDefault="00EB51E9" w:rsidP="0076452F">
      <w:pPr>
        <w:spacing w:before="100" w:beforeAutospacing="1" w:after="100" w:afterAutospacing="1" w:line="240" w:lineRule="auto"/>
        <w:rPr>
          <w:rFonts w:asciiTheme="minorHAnsi" w:hAnsiTheme="minorHAnsi" w:cs="Arial"/>
          <w:snapToGrid w:val="0"/>
          <w:sz w:val="24"/>
          <w:szCs w:val="24"/>
        </w:rPr>
      </w:pPr>
    </w:p>
    <w:p w14:paraId="6B59CC6A" w14:textId="396AA4C5" w:rsidR="00EB51E9" w:rsidRDefault="00EB51E9" w:rsidP="00EB51E9">
      <w:pPr>
        <w:spacing w:before="100" w:beforeAutospacing="1" w:after="100" w:afterAutospacing="1"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Notes to the financial statements for the year ended 30 September 2018 (continued)</w:t>
      </w:r>
    </w:p>
    <w:p w14:paraId="73D2311B" w14:textId="20F20B3E" w:rsidR="00387380" w:rsidRPr="002B2821" w:rsidRDefault="00387380" w:rsidP="00096730">
      <w:pPr>
        <w:spacing w:after="120" w:line="240" w:lineRule="auto"/>
        <w:rPr>
          <w:rFonts w:asciiTheme="minorHAnsi" w:hAnsiTheme="minorHAnsi" w:cs="Arial"/>
          <w:snapToGrid w:val="0"/>
          <w:color w:val="442359"/>
          <w:sz w:val="24"/>
          <w:szCs w:val="24"/>
        </w:rPr>
      </w:pPr>
      <w:r w:rsidRPr="002B2821">
        <w:rPr>
          <w:rFonts w:asciiTheme="minorHAnsi" w:hAnsiTheme="minorHAnsi" w:cs="Arial"/>
          <w:b/>
          <w:color w:val="442359"/>
          <w:sz w:val="24"/>
          <w:szCs w:val="24"/>
        </w:rPr>
        <w:t>5</w:t>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t xml:space="preserve">    </w:t>
      </w:r>
      <w:proofErr w:type="spellStart"/>
      <w:r w:rsidRPr="002B2821">
        <w:rPr>
          <w:rFonts w:asciiTheme="minorHAnsi" w:hAnsiTheme="minorHAnsi" w:cs="Arial"/>
          <w:b/>
          <w:color w:val="442359"/>
          <w:sz w:val="24"/>
          <w:szCs w:val="24"/>
        </w:rPr>
        <w:t>Grantmaking</w:t>
      </w:r>
      <w:proofErr w:type="spellEnd"/>
      <w:r>
        <w:rPr>
          <w:rFonts w:asciiTheme="minorHAnsi" w:hAnsiTheme="minorHAnsi" w:cs="Arial"/>
          <w:b/>
          <w:color w:val="442359"/>
          <w:sz w:val="24"/>
          <w:szCs w:val="24"/>
        </w:rPr>
        <w:t xml:space="preserve"> (</w:t>
      </w:r>
      <w:proofErr w:type="spellStart"/>
      <w:r>
        <w:rPr>
          <w:rFonts w:asciiTheme="minorHAnsi" w:hAnsiTheme="minorHAnsi" w:cs="Arial"/>
          <w:b/>
          <w:color w:val="442359"/>
          <w:sz w:val="24"/>
          <w:szCs w:val="24"/>
        </w:rPr>
        <w:t>cont</w:t>
      </w:r>
      <w:proofErr w:type="spellEnd"/>
      <w:r>
        <w:rPr>
          <w:rFonts w:asciiTheme="minorHAnsi" w:hAnsiTheme="minorHAnsi" w:cs="Arial"/>
          <w:b/>
          <w:color w:val="442359"/>
          <w:sz w:val="24"/>
          <w:szCs w:val="24"/>
        </w:rPr>
        <w:t>)</w:t>
      </w:r>
    </w:p>
    <w:p w14:paraId="51F0BDA6" w14:textId="300AFA38" w:rsidR="00EB51E9" w:rsidRPr="002B2821" w:rsidRDefault="006704BD" w:rsidP="00096730">
      <w:pPr>
        <w:pStyle w:val="BodyText"/>
        <w:spacing w:after="180" w:line="240" w:lineRule="auto"/>
        <w:rPr>
          <w:rFonts w:asciiTheme="minorHAnsi" w:hAnsiTheme="minorHAnsi" w:cs="Arial"/>
          <w:b/>
          <w:color w:val="442359"/>
          <w:sz w:val="24"/>
          <w:szCs w:val="24"/>
        </w:rPr>
      </w:pPr>
      <w:r w:rsidRPr="002B2821">
        <w:rPr>
          <w:rFonts w:asciiTheme="minorHAnsi" w:hAnsiTheme="minorHAnsi" w:cs="Arial"/>
          <w:sz w:val="24"/>
          <w:szCs w:val="24"/>
        </w:rPr>
        <w:t>All payments will always remain at the discretion of the trustees and will be allocated in accordance with the principles set out in the Trust Deed and in line with the Trust’s policy on beneficiaries who lack capacity.</w:t>
      </w:r>
    </w:p>
    <w:tbl>
      <w:tblPr>
        <w:tblW w:w="8930" w:type="dxa"/>
        <w:jc w:val="center"/>
        <w:tblLayout w:type="fixed"/>
        <w:tblLook w:val="0000" w:firstRow="0" w:lastRow="0" w:firstColumn="0" w:lastColumn="0" w:noHBand="0" w:noVBand="0"/>
      </w:tblPr>
      <w:tblGrid>
        <w:gridCol w:w="3261"/>
        <w:gridCol w:w="283"/>
        <w:gridCol w:w="1559"/>
        <w:gridCol w:w="1276"/>
        <w:gridCol w:w="1418"/>
        <w:gridCol w:w="1133"/>
      </w:tblGrid>
      <w:tr w:rsidR="00B1587C" w:rsidRPr="002B2821" w14:paraId="792BB476" w14:textId="77777777" w:rsidTr="003B65D4">
        <w:trPr>
          <w:cantSplit/>
          <w:trHeight w:hRule="exact" w:val="305"/>
          <w:tblHeader/>
          <w:jc w:val="center"/>
        </w:trPr>
        <w:tc>
          <w:tcPr>
            <w:tcW w:w="3261" w:type="dxa"/>
          </w:tcPr>
          <w:p w14:paraId="7582E71B" w14:textId="77777777" w:rsidR="00B1587C" w:rsidRPr="002B2821" w:rsidRDefault="00B1587C">
            <w:pPr>
              <w:pStyle w:val="TableText"/>
              <w:spacing w:before="0" w:after="0" w:line="240" w:lineRule="auto"/>
              <w:ind w:hanging="108"/>
              <w:rPr>
                <w:rFonts w:asciiTheme="minorHAnsi" w:hAnsiTheme="minorHAnsi" w:cs="Arial"/>
                <w:b/>
                <w:sz w:val="24"/>
                <w:szCs w:val="24"/>
              </w:rPr>
            </w:pPr>
          </w:p>
          <w:p w14:paraId="39E8ED45" w14:textId="77777777" w:rsidR="003C4279" w:rsidRPr="002B2821" w:rsidRDefault="003C4279">
            <w:pPr>
              <w:pStyle w:val="TableText"/>
              <w:spacing w:before="0" w:after="0" w:line="240" w:lineRule="auto"/>
              <w:ind w:hanging="108"/>
              <w:rPr>
                <w:rFonts w:asciiTheme="minorHAnsi" w:hAnsiTheme="minorHAnsi" w:cs="Arial"/>
                <w:b/>
                <w:sz w:val="24"/>
                <w:szCs w:val="24"/>
              </w:rPr>
            </w:pPr>
          </w:p>
          <w:p w14:paraId="37E350A6" w14:textId="77777777" w:rsidR="003C4279" w:rsidRPr="002B2821" w:rsidRDefault="003C4279">
            <w:pPr>
              <w:pStyle w:val="TableText"/>
              <w:spacing w:before="0" w:after="0" w:line="240" w:lineRule="auto"/>
              <w:ind w:hanging="108"/>
              <w:rPr>
                <w:rFonts w:asciiTheme="minorHAnsi" w:hAnsiTheme="minorHAnsi" w:cs="Arial"/>
                <w:b/>
                <w:sz w:val="24"/>
                <w:szCs w:val="24"/>
              </w:rPr>
            </w:pPr>
          </w:p>
        </w:tc>
        <w:tc>
          <w:tcPr>
            <w:tcW w:w="283" w:type="dxa"/>
          </w:tcPr>
          <w:p w14:paraId="2699CF51" w14:textId="77777777" w:rsidR="00B1587C" w:rsidRPr="002B2821" w:rsidRDefault="00B1587C">
            <w:pPr>
              <w:pStyle w:val="TableColumnHeader"/>
              <w:spacing w:before="0"/>
              <w:rPr>
                <w:rFonts w:asciiTheme="minorHAnsi" w:hAnsiTheme="minorHAnsi" w:cs="Arial"/>
                <w:b w:val="0"/>
                <w:color w:val="0000FF"/>
                <w:sz w:val="24"/>
                <w:szCs w:val="24"/>
              </w:rPr>
            </w:pPr>
          </w:p>
        </w:tc>
        <w:tc>
          <w:tcPr>
            <w:tcW w:w="2835" w:type="dxa"/>
            <w:gridSpan w:val="2"/>
          </w:tcPr>
          <w:p w14:paraId="75B31630" w14:textId="76983A01" w:rsidR="00B1587C" w:rsidRPr="002B2821" w:rsidRDefault="00B1587C" w:rsidP="00EB51E9">
            <w:pPr>
              <w:pStyle w:val="TableColumnHeader"/>
              <w:spacing w:before="0"/>
              <w:jc w:val="center"/>
              <w:rPr>
                <w:rFonts w:asciiTheme="minorHAnsi" w:hAnsiTheme="minorHAnsi" w:cs="Arial"/>
                <w:color w:val="442359"/>
                <w:sz w:val="24"/>
                <w:szCs w:val="24"/>
              </w:rPr>
            </w:pPr>
            <w:r w:rsidRPr="002B2821">
              <w:rPr>
                <w:rFonts w:asciiTheme="minorHAnsi" w:hAnsiTheme="minorHAnsi" w:cs="Arial"/>
                <w:color w:val="442359"/>
                <w:sz w:val="24"/>
                <w:szCs w:val="24"/>
              </w:rPr>
              <w:t>201</w:t>
            </w:r>
            <w:r w:rsidR="00EB51E9" w:rsidRPr="002B2821">
              <w:rPr>
                <w:rFonts w:asciiTheme="minorHAnsi" w:hAnsiTheme="minorHAnsi" w:cs="Arial"/>
                <w:color w:val="442359"/>
                <w:sz w:val="24"/>
                <w:szCs w:val="24"/>
              </w:rPr>
              <w:t>8</w:t>
            </w:r>
          </w:p>
        </w:tc>
        <w:tc>
          <w:tcPr>
            <w:tcW w:w="2551" w:type="dxa"/>
            <w:gridSpan w:val="2"/>
          </w:tcPr>
          <w:p w14:paraId="72671F61" w14:textId="28524AF2" w:rsidR="00B1587C" w:rsidRPr="002B2821" w:rsidRDefault="00B1587C" w:rsidP="00EB51E9">
            <w:pPr>
              <w:pStyle w:val="TableColumnHeader"/>
              <w:spacing w:before="0"/>
              <w:jc w:val="center"/>
              <w:rPr>
                <w:rFonts w:asciiTheme="minorHAnsi" w:hAnsiTheme="minorHAnsi" w:cs="Arial"/>
                <w:b w:val="0"/>
                <w:color w:val="442359"/>
                <w:sz w:val="24"/>
                <w:szCs w:val="24"/>
              </w:rPr>
            </w:pPr>
            <w:r w:rsidRPr="002B2821">
              <w:rPr>
                <w:rFonts w:asciiTheme="minorHAnsi" w:hAnsiTheme="minorHAnsi" w:cs="Arial"/>
                <w:b w:val="0"/>
                <w:color w:val="442359"/>
                <w:sz w:val="24"/>
                <w:szCs w:val="24"/>
              </w:rPr>
              <w:t>201</w:t>
            </w:r>
            <w:r w:rsidR="00EB51E9" w:rsidRPr="002B2821">
              <w:rPr>
                <w:rFonts w:asciiTheme="minorHAnsi" w:hAnsiTheme="minorHAnsi" w:cs="Arial"/>
                <w:b w:val="0"/>
                <w:color w:val="442359"/>
                <w:sz w:val="24"/>
                <w:szCs w:val="24"/>
              </w:rPr>
              <w:t>7</w:t>
            </w:r>
          </w:p>
        </w:tc>
      </w:tr>
      <w:tr w:rsidR="00B1587C" w:rsidRPr="002B2821" w14:paraId="12925E29" w14:textId="77777777" w:rsidTr="003B65D4">
        <w:trPr>
          <w:trHeight w:hRule="exact" w:val="533"/>
          <w:tblHeader/>
          <w:jc w:val="center"/>
        </w:trPr>
        <w:tc>
          <w:tcPr>
            <w:tcW w:w="3261" w:type="dxa"/>
          </w:tcPr>
          <w:p w14:paraId="1CB7062F" w14:textId="77777777" w:rsidR="00B1587C" w:rsidRPr="002B2821" w:rsidRDefault="00B1587C">
            <w:pPr>
              <w:pStyle w:val="TableText"/>
              <w:spacing w:before="0" w:after="0" w:line="240" w:lineRule="auto"/>
              <w:ind w:hanging="108"/>
              <w:rPr>
                <w:rFonts w:asciiTheme="minorHAnsi" w:hAnsiTheme="minorHAnsi" w:cs="Arial"/>
                <w:b/>
                <w:sz w:val="24"/>
                <w:szCs w:val="24"/>
              </w:rPr>
            </w:pPr>
          </w:p>
        </w:tc>
        <w:tc>
          <w:tcPr>
            <w:tcW w:w="283" w:type="dxa"/>
          </w:tcPr>
          <w:p w14:paraId="34750188" w14:textId="77777777" w:rsidR="00B1587C" w:rsidRPr="002B2821" w:rsidRDefault="00B1587C">
            <w:pPr>
              <w:pStyle w:val="TableColumnHeader"/>
              <w:spacing w:before="0"/>
              <w:rPr>
                <w:rFonts w:asciiTheme="minorHAnsi" w:hAnsiTheme="minorHAnsi" w:cs="Arial"/>
                <w:b w:val="0"/>
                <w:color w:val="0000FF"/>
                <w:sz w:val="24"/>
                <w:szCs w:val="24"/>
              </w:rPr>
            </w:pPr>
          </w:p>
        </w:tc>
        <w:tc>
          <w:tcPr>
            <w:tcW w:w="1559" w:type="dxa"/>
          </w:tcPr>
          <w:p w14:paraId="07C88AB0" w14:textId="77777777" w:rsidR="00B1587C" w:rsidRPr="002B2821" w:rsidRDefault="00B1587C" w:rsidP="00D92F1B">
            <w:pPr>
              <w:pStyle w:val="TableColumnHeader"/>
              <w:spacing w:before="0"/>
              <w:rPr>
                <w:rFonts w:asciiTheme="minorHAnsi" w:hAnsiTheme="minorHAnsi" w:cs="Arial"/>
                <w:color w:val="442359"/>
                <w:sz w:val="22"/>
                <w:szCs w:val="22"/>
              </w:rPr>
            </w:pPr>
            <w:r w:rsidRPr="002B2821">
              <w:rPr>
                <w:rFonts w:asciiTheme="minorHAnsi" w:hAnsiTheme="minorHAnsi" w:cs="Arial"/>
                <w:color w:val="442359"/>
                <w:sz w:val="22"/>
                <w:szCs w:val="22"/>
              </w:rPr>
              <w:t>Number of beneficiaries</w:t>
            </w:r>
          </w:p>
          <w:p w14:paraId="337D31F8" w14:textId="77777777" w:rsidR="00B1587C" w:rsidRPr="002B2821" w:rsidRDefault="00B1587C" w:rsidP="00D92F1B">
            <w:pPr>
              <w:pStyle w:val="TableColumnHeader"/>
              <w:spacing w:before="0"/>
              <w:rPr>
                <w:rFonts w:asciiTheme="minorHAnsi" w:hAnsiTheme="minorHAnsi" w:cs="Arial"/>
                <w:color w:val="442359"/>
                <w:sz w:val="22"/>
                <w:szCs w:val="22"/>
              </w:rPr>
            </w:pPr>
          </w:p>
        </w:tc>
        <w:tc>
          <w:tcPr>
            <w:tcW w:w="1276" w:type="dxa"/>
          </w:tcPr>
          <w:p w14:paraId="64F2BB20"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r w:rsidRPr="002B2821">
              <w:rPr>
                <w:rFonts w:asciiTheme="minorHAnsi" w:hAnsiTheme="minorHAnsi" w:cs="Arial"/>
                <w:color w:val="442359"/>
                <w:sz w:val="22"/>
                <w:szCs w:val="22"/>
              </w:rPr>
              <w:t>Value of grants</w:t>
            </w:r>
          </w:p>
          <w:p w14:paraId="4F01B821"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p>
          <w:p w14:paraId="1001AD59"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r w:rsidRPr="002B2821">
              <w:rPr>
                <w:rFonts w:asciiTheme="minorHAnsi" w:hAnsiTheme="minorHAnsi" w:cs="Arial"/>
                <w:color w:val="442359"/>
                <w:sz w:val="22"/>
                <w:szCs w:val="22"/>
              </w:rPr>
              <w:t>£</w:t>
            </w:r>
          </w:p>
          <w:p w14:paraId="2B63DD44"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p>
          <w:p w14:paraId="312C3A71"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p>
          <w:p w14:paraId="08CAD87F"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r w:rsidRPr="002B2821">
              <w:rPr>
                <w:rFonts w:asciiTheme="minorHAnsi" w:hAnsiTheme="minorHAnsi" w:cs="Arial"/>
                <w:color w:val="442359"/>
                <w:sz w:val="22"/>
                <w:szCs w:val="22"/>
              </w:rPr>
              <w:t>£</w:t>
            </w:r>
          </w:p>
          <w:p w14:paraId="68E032A3"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r w:rsidRPr="002B2821">
              <w:rPr>
                <w:rFonts w:asciiTheme="minorHAnsi" w:hAnsiTheme="minorHAnsi" w:cs="Arial"/>
                <w:color w:val="442359"/>
                <w:sz w:val="22"/>
                <w:szCs w:val="22"/>
              </w:rPr>
              <w:t>£</w:t>
            </w:r>
          </w:p>
          <w:p w14:paraId="7C038163" w14:textId="77777777" w:rsidR="00B1587C" w:rsidRPr="002B2821" w:rsidRDefault="00B1587C" w:rsidP="00D92F1B">
            <w:pPr>
              <w:pStyle w:val="TableColumnHeader"/>
              <w:tabs>
                <w:tab w:val="decimal" w:pos="459"/>
              </w:tabs>
              <w:spacing w:before="0"/>
              <w:rPr>
                <w:rFonts w:asciiTheme="minorHAnsi" w:hAnsiTheme="minorHAnsi" w:cs="Arial"/>
                <w:color w:val="442359"/>
                <w:sz w:val="22"/>
                <w:szCs w:val="22"/>
              </w:rPr>
            </w:pPr>
          </w:p>
        </w:tc>
        <w:tc>
          <w:tcPr>
            <w:tcW w:w="1418" w:type="dxa"/>
          </w:tcPr>
          <w:p w14:paraId="2D879B91" w14:textId="77777777" w:rsidR="00B1587C" w:rsidRPr="002B2821" w:rsidRDefault="00B1587C" w:rsidP="00D92F1B">
            <w:pPr>
              <w:pStyle w:val="TableColumnHeader"/>
              <w:spacing w:before="0"/>
              <w:rPr>
                <w:rFonts w:asciiTheme="minorHAnsi" w:hAnsiTheme="minorHAnsi" w:cs="Arial"/>
                <w:b w:val="0"/>
                <w:color w:val="442359"/>
                <w:sz w:val="22"/>
                <w:szCs w:val="22"/>
              </w:rPr>
            </w:pPr>
            <w:r w:rsidRPr="002B2821">
              <w:rPr>
                <w:rFonts w:asciiTheme="minorHAnsi" w:hAnsiTheme="minorHAnsi" w:cs="Arial"/>
                <w:b w:val="0"/>
                <w:color w:val="442359"/>
                <w:sz w:val="22"/>
                <w:szCs w:val="22"/>
              </w:rPr>
              <w:t>Number of beneficiarie</w:t>
            </w:r>
            <w:r w:rsidR="005417AC" w:rsidRPr="002B2821">
              <w:rPr>
                <w:rFonts w:asciiTheme="minorHAnsi" w:hAnsiTheme="minorHAnsi" w:cs="Arial"/>
                <w:b w:val="0"/>
                <w:color w:val="442359"/>
                <w:sz w:val="22"/>
                <w:szCs w:val="22"/>
              </w:rPr>
              <w:t>s</w:t>
            </w:r>
          </w:p>
          <w:p w14:paraId="4667D308" w14:textId="77777777" w:rsidR="00B1587C" w:rsidRPr="002B2821" w:rsidRDefault="00B1587C" w:rsidP="00D92F1B">
            <w:pPr>
              <w:pStyle w:val="TableColumnHeader"/>
              <w:spacing w:before="0"/>
              <w:rPr>
                <w:rFonts w:asciiTheme="minorHAnsi" w:hAnsiTheme="minorHAnsi" w:cs="Arial"/>
                <w:b w:val="0"/>
                <w:color w:val="442359"/>
                <w:sz w:val="22"/>
                <w:szCs w:val="22"/>
              </w:rPr>
            </w:pPr>
          </w:p>
        </w:tc>
        <w:tc>
          <w:tcPr>
            <w:tcW w:w="1133" w:type="dxa"/>
          </w:tcPr>
          <w:p w14:paraId="1817AD14" w14:textId="77777777" w:rsidR="00B1587C" w:rsidRPr="002B2821" w:rsidRDefault="00B1587C" w:rsidP="00D92F1B">
            <w:pPr>
              <w:pStyle w:val="TableColumnHeader"/>
              <w:tabs>
                <w:tab w:val="decimal" w:pos="459"/>
              </w:tabs>
              <w:spacing w:before="0"/>
              <w:rPr>
                <w:rFonts w:asciiTheme="minorHAnsi" w:hAnsiTheme="minorHAnsi" w:cs="Arial"/>
                <w:b w:val="0"/>
                <w:color w:val="442359"/>
                <w:sz w:val="22"/>
                <w:szCs w:val="22"/>
              </w:rPr>
            </w:pPr>
            <w:r w:rsidRPr="002B2821">
              <w:rPr>
                <w:rFonts w:asciiTheme="minorHAnsi" w:hAnsiTheme="minorHAnsi" w:cs="Arial"/>
                <w:b w:val="0"/>
                <w:color w:val="442359"/>
                <w:sz w:val="22"/>
                <w:szCs w:val="22"/>
              </w:rPr>
              <w:t>Value of grants</w:t>
            </w:r>
          </w:p>
          <w:p w14:paraId="5F57A391" w14:textId="77777777" w:rsidR="00B1587C" w:rsidRPr="002B2821" w:rsidRDefault="00B1587C" w:rsidP="00D92F1B">
            <w:pPr>
              <w:pStyle w:val="TableColumnHeader"/>
              <w:tabs>
                <w:tab w:val="decimal" w:pos="459"/>
              </w:tabs>
              <w:spacing w:before="0"/>
              <w:rPr>
                <w:rFonts w:asciiTheme="minorHAnsi" w:hAnsiTheme="minorHAnsi" w:cs="Arial"/>
                <w:b w:val="0"/>
                <w:color w:val="442359"/>
                <w:sz w:val="22"/>
                <w:szCs w:val="22"/>
              </w:rPr>
            </w:pPr>
          </w:p>
          <w:p w14:paraId="402AE092" w14:textId="77777777" w:rsidR="00B1587C" w:rsidRPr="002B2821" w:rsidRDefault="00B1587C" w:rsidP="00D92F1B">
            <w:pPr>
              <w:pStyle w:val="TableColumnHeader"/>
              <w:tabs>
                <w:tab w:val="decimal" w:pos="459"/>
              </w:tabs>
              <w:spacing w:before="0"/>
              <w:rPr>
                <w:rFonts w:asciiTheme="minorHAnsi" w:hAnsiTheme="minorHAnsi" w:cs="Arial"/>
                <w:b w:val="0"/>
                <w:color w:val="442359"/>
                <w:sz w:val="22"/>
                <w:szCs w:val="22"/>
              </w:rPr>
            </w:pPr>
          </w:p>
          <w:p w14:paraId="47F61449" w14:textId="77777777" w:rsidR="00B1587C" w:rsidRPr="002B2821" w:rsidRDefault="00B1587C" w:rsidP="00D92F1B">
            <w:pPr>
              <w:pStyle w:val="TableColumnHeader"/>
              <w:tabs>
                <w:tab w:val="decimal" w:pos="459"/>
              </w:tabs>
              <w:spacing w:before="0"/>
              <w:rPr>
                <w:rFonts w:asciiTheme="minorHAnsi" w:hAnsiTheme="minorHAnsi" w:cs="Arial"/>
                <w:b w:val="0"/>
                <w:color w:val="442359"/>
                <w:sz w:val="22"/>
                <w:szCs w:val="22"/>
              </w:rPr>
            </w:pPr>
            <w:r w:rsidRPr="002B2821">
              <w:rPr>
                <w:rFonts w:asciiTheme="minorHAnsi" w:hAnsiTheme="minorHAnsi" w:cs="Arial"/>
                <w:b w:val="0"/>
                <w:color w:val="442359"/>
                <w:sz w:val="22"/>
                <w:szCs w:val="22"/>
              </w:rPr>
              <w:t>£</w:t>
            </w:r>
          </w:p>
          <w:p w14:paraId="467506CA" w14:textId="77777777" w:rsidR="00B1587C" w:rsidRPr="002B2821" w:rsidRDefault="00B1587C" w:rsidP="00D92F1B">
            <w:pPr>
              <w:pStyle w:val="TableColumnHeader"/>
              <w:tabs>
                <w:tab w:val="decimal" w:pos="459"/>
              </w:tabs>
              <w:spacing w:before="0"/>
              <w:rPr>
                <w:rFonts w:asciiTheme="minorHAnsi" w:hAnsiTheme="minorHAnsi" w:cs="Arial"/>
                <w:b w:val="0"/>
                <w:color w:val="442359"/>
                <w:sz w:val="22"/>
                <w:szCs w:val="22"/>
              </w:rPr>
            </w:pPr>
          </w:p>
        </w:tc>
      </w:tr>
      <w:tr w:rsidR="00B1587C" w:rsidRPr="002B2821" w14:paraId="458CBF23" w14:textId="77777777" w:rsidTr="003B65D4">
        <w:trPr>
          <w:trHeight w:hRule="exact" w:val="423"/>
          <w:jc w:val="center"/>
        </w:trPr>
        <w:tc>
          <w:tcPr>
            <w:tcW w:w="3261" w:type="dxa"/>
            <w:vAlign w:val="center"/>
          </w:tcPr>
          <w:p w14:paraId="1432F827" w14:textId="77777777" w:rsidR="00B1587C" w:rsidRPr="002B2821" w:rsidRDefault="00B1587C">
            <w:pPr>
              <w:pStyle w:val="TableRowHeader"/>
              <w:spacing w:before="0" w:after="0" w:line="240" w:lineRule="auto"/>
              <w:ind w:left="0"/>
              <w:rPr>
                <w:rFonts w:asciiTheme="minorHAnsi" w:hAnsiTheme="minorHAnsi" w:cs="Arial"/>
                <w:b/>
                <w:sz w:val="24"/>
                <w:szCs w:val="24"/>
              </w:rPr>
            </w:pPr>
          </w:p>
        </w:tc>
        <w:tc>
          <w:tcPr>
            <w:tcW w:w="283" w:type="dxa"/>
          </w:tcPr>
          <w:p w14:paraId="0266BEEC" w14:textId="77777777" w:rsidR="00B1587C" w:rsidRPr="002B2821" w:rsidRDefault="00B1587C">
            <w:pPr>
              <w:pStyle w:val="TableFigure"/>
              <w:tabs>
                <w:tab w:val="clear" w:pos="851"/>
              </w:tabs>
              <w:spacing w:before="0"/>
              <w:jc w:val="right"/>
              <w:rPr>
                <w:rFonts w:asciiTheme="minorHAnsi" w:hAnsiTheme="minorHAnsi" w:cs="Arial"/>
                <w:strike/>
                <w:sz w:val="24"/>
                <w:szCs w:val="24"/>
              </w:rPr>
            </w:pPr>
          </w:p>
        </w:tc>
        <w:tc>
          <w:tcPr>
            <w:tcW w:w="1559" w:type="dxa"/>
            <w:vAlign w:val="center"/>
          </w:tcPr>
          <w:p w14:paraId="3AB7138A" w14:textId="77777777" w:rsidR="00B1587C" w:rsidRPr="002B2821" w:rsidRDefault="00B1587C" w:rsidP="00D92F1B">
            <w:pPr>
              <w:pStyle w:val="TableFigure"/>
              <w:tabs>
                <w:tab w:val="clear" w:pos="851"/>
              </w:tabs>
              <w:spacing w:before="0"/>
              <w:jc w:val="right"/>
              <w:rPr>
                <w:rFonts w:asciiTheme="minorHAnsi" w:hAnsiTheme="minorHAnsi" w:cs="Arial"/>
                <w:color w:val="442359"/>
                <w:sz w:val="24"/>
                <w:szCs w:val="24"/>
              </w:rPr>
            </w:pPr>
          </w:p>
        </w:tc>
        <w:tc>
          <w:tcPr>
            <w:tcW w:w="1276" w:type="dxa"/>
            <w:vAlign w:val="center"/>
          </w:tcPr>
          <w:p w14:paraId="1C756AA1" w14:textId="77777777" w:rsidR="00B1587C" w:rsidRPr="002B2821" w:rsidRDefault="00B1587C" w:rsidP="00D92F1B">
            <w:pPr>
              <w:pStyle w:val="TableText"/>
              <w:jc w:val="right"/>
              <w:rPr>
                <w:rFonts w:asciiTheme="minorHAnsi" w:hAnsiTheme="minorHAnsi" w:cs="Arial"/>
                <w:b/>
                <w:color w:val="442359"/>
                <w:sz w:val="24"/>
                <w:szCs w:val="24"/>
              </w:rPr>
            </w:pPr>
            <w:r w:rsidRPr="002B2821">
              <w:rPr>
                <w:rFonts w:asciiTheme="minorHAnsi" w:hAnsiTheme="minorHAnsi" w:cs="Arial"/>
                <w:b/>
                <w:color w:val="442359"/>
                <w:sz w:val="24"/>
                <w:szCs w:val="24"/>
              </w:rPr>
              <w:t>£</w:t>
            </w:r>
            <w:r w:rsidR="00BC614F" w:rsidRPr="002B2821">
              <w:rPr>
                <w:rFonts w:asciiTheme="minorHAnsi" w:hAnsiTheme="minorHAnsi" w:cs="Arial"/>
                <w:b/>
                <w:color w:val="442359"/>
                <w:sz w:val="24"/>
                <w:szCs w:val="24"/>
              </w:rPr>
              <w:t>000s</w:t>
            </w:r>
          </w:p>
        </w:tc>
        <w:tc>
          <w:tcPr>
            <w:tcW w:w="1418" w:type="dxa"/>
          </w:tcPr>
          <w:p w14:paraId="5F8876A2" w14:textId="77777777" w:rsidR="00B1587C" w:rsidRPr="002B2821" w:rsidRDefault="00B1587C" w:rsidP="00D92F1B">
            <w:pPr>
              <w:pStyle w:val="TableText"/>
              <w:jc w:val="right"/>
              <w:rPr>
                <w:rFonts w:asciiTheme="minorHAnsi" w:hAnsiTheme="minorHAnsi" w:cs="Arial"/>
                <w:color w:val="442359"/>
                <w:sz w:val="24"/>
                <w:szCs w:val="24"/>
              </w:rPr>
            </w:pPr>
          </w:p>
        </w:tc>
        <w:tc>
          <w:tcPr>
            <w:tcW w:w="1133" w:type="dxa"/>
          </w:tcPr>
          <w:p w14:paraId="113BFE05" w14:textId="77777777" w:rsidR="00B1587C" w:rsidRPr="002B2821" w:rsidRDefault="00B1587C" w:rsidP="00D92F1B">
            <w:pPr>
              <w:pStyle w:val="TableText"/>
              <w:jc w:val="right"/>
              <w:rPr>
                <w:rFonts w:asciiTheme="minorHAnsi" w:hAnsiTheme="minorHAnsi" w:cs="Arial"/>
                <w:color w:val="442359"/>
                <w:sz w:val="24"/>
                <w:szCs w:val="24"/>
              </w:rPr>
            </w:pPr>
            <w:r w:rsidRPr="002B2821">
              <w:rPr>
                <w:rFonts w:asciiTheme="minorHAnsi" w:hAnsiTheme="minorHAnsi" w:cs="Arial"/>
                <w:color w:val="442359"/>
                <w:sz w:val="24"/>
                <w:szCs w:val="24"/>
              </w:rPr>
              <w:t>£</w:t>
            </w:r>
            <w:r w:rsidR="00BC614F" w:rsidRPr="002B2821">
              <w:rPr>
                <w:rFonts w:asciiTheme="minorHAnsi" w:hAnsiTheme="minorHAnsi" w:cs="Arial"/>
                <w:color w:val="442359"/>
                <w:sz w:val="24"/>
                <w:szCs w:val="24"/>
              </w:rPr>
              <w:t>000</w:t>
            </w:r>
            <w:r w:rsidR="000A0571" w:rsidRPr="002B2821">
              <w:rPr>
                <w:rFonts w:asciiTheme="minorHAnsi" w:hAnsiTheme="minorHAnsi" w:cs="Arial"/>
                <w:color w:val="442359"/>
                <w:sz w:val="24"/>
                <w:szCs w:val="24"/>
              </w:rPr>
              <w:t>s</w:t>
            </w:r>
          </w:p>
        </w:tc>
      </w:tr>
      <w:tr w:rsidR="001B7EB7" w:rsidRPr="002B2821" w14:paraId="544398D2" w14:textId="77777777" w:rsidTr="003B65D4">
        <w:trPr>
          <w:trHeight w:hRule="exact" w:val="581"/>
          <w:jc w:val="center"/>
        </w:trPr>
        <w:tc>
          <w:tcPr>
            <w:tcW w:w="3261" w:type="dxa"/>
            <w:vAlign w:val="center"/>
          </w:tcPr>
          <w:p w14:paraId="438D79D5" w14:textId="77777777" w:rsidR="001B7EB7" w:rsidRPr="002B2821" w:rsidRDefault="001B7EB7" w:rsidP="009C043E">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 xml:space="preserve">Beneficiaries </w:t>
            </w:r>
            <w:r w:rsidR="009C043E" w:rsidRPr="002B2821">
              <w:rPr>
                <w:rFonts w:asciiTheme="minorHAnsi" w:hAnsiTheme="minorHAnsi" w:cs="Arial"/>
                <w:sz w:val="24"/>
                <w:szCs w:val="24"/>
              </w:rPr>
              <w:t xml:space="preserve">with capacity to manage </w:t>
            </w:r>
            <w:r w:rsidRPr="002B2821">
              <w:rPr>
                <w:rFonts w:asciiTheme="minorHAnsi" w:hAnsiTheme="minorHAnsi" w:cs="Arial"/>
                <w:sz w:val="24"/>
                <w:szCs w:val="24"/>
              </w:rPr>
              <w:t>their financial affairs</w:t>
            </w:r>
          </w:p>
          <w:p w14:paraId="2587AB3C" w14:textId="77777777" w:rsidR="003B65D4" w:rsidRPr="002B2821" w:rsidRDefault="003B65D4" w:rsidP="009C043E">
            <w:pPr>
              <w:pStyle w:val="TableRowHeader"/>
              <w:spacing w:before="0" w:after="0" w:line="240" w:lineRule="auto"/>
              <w:ind w:left="0"/>
              <w:rPr>
                <w:rFonts w:asciiTheme="minorHAnsi" w:hAnsiTheme="minorHAnsi" w:cs="Arial"/>
                <w:sz w:val="24"/>
                <w:szCs w:val="24"/>
              </w:rPr>
            </w:pPr>
          </w:p>
        </w:tc>
        <w:tc>
          <w:tcPr>
            <w:tcW w:w="283" w:type="dxa"/>
          </w:tcPr>
          <w:p w14:paraId="60C0E1E1" w14:textId="77777777" w:rsidR="001B7EB7" w:rsidRPr="002B2821" w:rsidRDefault="001B7EB7">
            <w:pPr>
              <w:pStyle w:val="TableFigure"/>
              <w:tabs>
                <w:tab w:val="clear" w:pos="851"/>
              </w:tabs>
              <w:spacing w:before="0"/>
              <w:jc w:val="right"/>
              <w:rPr>
                <w:rFonts w:asciiTheme="minorHAnsi" w:hAnsiTheme="minorHAnsi" w:cs="Arial"/>
                <w:strike/>
                <w:sz w:val="24"/>
                <w:szCs w:val="24"/>
              </w:rPr>
            </w:pPr>
          </w:p>
        </w:tc>
        <w:tc>
          <w:tcPr>
            <w:tcW w:w="1559" w:type="dxa"/>
            <w:vAlign w:val="center"/>
          </w:tcPr>
          <w:p w14:paraId="62A660B5" w14:textId="2D6D9F15" w:rsidR="001B7EB7" w:rsidRPr="002B2821" w:rsidRDefault="00601D6D" w:rsidP="00601D6D">
            <w:pPr>
              <w:pStyle w:val="TableFigure"/>
              <w:tabs>
                <w:tab w:val="clear" w:pos="851"/>
              </w:tabs>
              <w:spacing w:before="0"/>
              <w:jc w:val="right"/>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453</w:t>
            </w:r>
          </w:p>
        </w:tc>
        <w:tc>
          <w:tcPr>
            <w:tcW w:w="1276" w:type="dxa"/>
            <w:vAlign w:val="center"/>
          </w:tcPr>
          <w:p w14:paraId="23D8F625" w14:textId="5D73E980" w:rsidR="001B7EB7" w:rsidRPr="002B2821" w:rsidRDefault="00D0243E" w:rsidP="00AD493F">
            <w:pPr>
              <w:pStyle w:val="TableText"/>
              <w:jc w:val="right"/>
              <w:rPr>
                <w:rFonts w:asciiTheme="minorHAnsi" w:hAnsiTheme="minorHAnsi" w:cs="Arial"/>
                <w:b/>
                <w:color w:val="000000" w:themeColor="text1"/>
                <w:sz w:val="24"/>
                <w:szCs w:val="24"/>
              </w:rPr>
            </w:pPr>
            <w:r w:rsidRPr="002B2821">
              <w:rPr>
                <w:rFonts w:asciiTheme="minorHAnsi" w:hAnsiTheme="minorHAnsi" w:cs="Arial"/>
                <w:b/>
                <w:color w:val="000000" w:themeColor="text1"/>
                <w:sz w:val="24"/>
                <w:szCs w:val="24"/>
              </w:rPr>
              <w:t>17,901</w:t>
            </w:r>
          </w:p>
        </w:tc>
        <w:tc>
          <w:tcPr>
            <w:tcW w:w="1418" w:type="dxa"/>
            <w:vAlign w:val="center"/>
          </w:tcPr>
          <w:p w14:paraId="55679C9E" w14:textId="627CA417" w:rsidR="001B7EB7" w:rsidRPr="002B2821" w:rsidRDefault="00E45A9B" w:rsidP="00F373E9">
            <w:pPr>
              <w:pStyle w:val="TableFigure"/>
              <w:tabs>
                <w:tab w:val="clear" w:pos="851"/>
              </w:tabs>
              <w:spacing w:before="0"/>
              <w:jc w:val="right"/>
              <w:rPr>
                <w:rFonts w:asciiTheme="minorHAnsi" w:hAnsiTheme="minorHAnsi" w:cs="Arial"/>
                <w:b w:val="0"/>
                <w:sz w:val="24"/>
                <w:szCs w:val="24"/>
              </w:rPr>
            </w:pPr>
            <w:r w:rsidRPr="002B2821">
              <w:rPr>
                <w:rFonts w:asciiTheme="minorHAnsi" w:hAnsiTheme="minorHAnsi" w:cs="Arial"/>
                <w:b w:val="0"/>
                <w:sz w:val="24"/>
                <w:szCs w:val="24"/>
              </w:rPr>
              <w:t>45</w:t>
            </w:r>
            <w:r w:rsidR="00EB51E9" w:rsidRPr="002B2821">
              <w:rPr>
                <w:rFonts w:asciiTheme="minorHAnsi" w:hAnsiTheme="minorHAnsi" w:cs="Arial"/>
                <w:b w:val="0"/>
                <w:sz w:val="24"/>
                <w:szCs w:val="24"/>
              </w:rPr>
              <w:t>5</w:t>
            </w:r>
          </w:p>
        </w:tc>
        <w:tc>
          <w:tcPr>
            <w:tcW w:w="1133" w:type="dxa"/>
            <w:vAlign w:val="center"/>
          </w:tcPr>
          <w:p w14:paraId="02F03590" w14:textId="6A442626" w:rsidR="001B7EB7" w:rsidRPr="002B2821" w:rsidRDefault="00EB51E9" w:rsidP="00EB51E9">
            <w:pPr>
              <w:pStyle w:val="TableText"/>
              <w:jc w:val="right"/>
              <w:rPr>
                <w:rFonts w:asciiTheme="minorHAnsi" w:hAnsiTheme="minorHAnsi" w:cs="Arial"/>
                <w:sz w:val="24"/>
                <w:szCs w:val="24"/>
              </w:rPr>
            </w:pPr>
            <w:r w:rsidRPr="002B2821">
              <w:rPr>
                <w:rFonts w:asciiTheme="minorHAnsi" w:hAnsiTheme="minorHAnsi" w:cs="Arial"/>
                <w:sz w:val="24"/>
                <w:szCs w:val="24"/>
              </w:rPr>
              <w:t>43,426</w:t>
            </w:r>
          </w:p>
        </w:tc>
      </w:tr>
      <w:tr w:rsidR="001B7EB7" w:rsidRPr="002B2821" w14:paraId="21721EF0" w14:textId="77777777" w:rsidTr="008A1DB8">
        <w:trPr>
          <w:trHeight w:hRule="exact" w:val="888"/>
          <w:jc w:val="center"/>
        </w:trPr>
        <w:tc>
          <w:tcPr>
            <w:tcW w:w="3261" w:type="dxa"/>
            <w:vAlign w:val="center"/>
          </w:tcPr>
          <w:p w14:paraId="404AA362" w14:textId="77777777" w:rsidR="00224E36" w:rsidRPr="002B2821" w:rsidRDefault="001B7EB7" w:rsidP="009C043E">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 xml:space="preserve">Beneficiaries </w:t>
            </w:r>
            <w:r w:rsidR="009C043E" w:rsidRPr="002B2821">
              <w:rPr>
                <w:rFonts w:asciiTheme="minorHAnsi" w:hAnsiTheme="minorHAnsi" w:cs="Arial"/>
                <w:sz w:val="24"/>
                <w:szCs w:val="24"/>
              </w:rPr>
              <w:t xml:space="preserve">who lack capacity  to </w:t>
            </w:r>
            <w:r w:rsidR="004E7892" w:rsidRPr="002B2821">
              <w:rPr>
                <w:rFonts w:asciiTheme="minorHAnsi" w:hAnsiTheme="minorHAnsi" w:cs="Arial"/>
                <w:sz w:val="24"/>
                <w:szCs w:val="24"/>
              </w:rPr>
              <w:t xml:space="preserve">manage their financial </w:t>
            </w:r>
            <w:r w:rsidR="00D1684F" w:rsidRPr="002B2821">
              <w:rPr>
                <w:rFonts w:asciiTheme="minorHAnsi" w:hAnsiTheme="minorHAnsi" w:cs="Arial"/>
                <w:sz w:val="24"/>
                <w:szCs w:val="24"/>
              </w:rPr>
              <w:t>affairs</w:t>
            </w:r>
          </w:p>
          <w:p w14:paraId="0A6AB115" w14:textId="77777777" w:rsidR="004E7892" w:rsidRPr="002B2821" w:rsidRDefault="004E7892" w:rsidP="009C043E">
            <w:pPr>
              <w:pStyle w:val="TableRowHeader"/>
              <w:spacing w:before="0" w:after="0" w:line="240" w:lineRule="auto"/>
              <w:ind w:left="0"/>
              <w:rPr>
                <w:rFonts w:asciiTheme="minorHAnsi" w:hAnsiTheme="minorHAnsi" w:cs="Arial"/>
                <w:sz w:val="24"/>
                <w:szCs w:val="24"/>
              </w:rPr>
            </w:pPr>
          </w:p>
          <w:p w14:paraId="3A183B3C" w14:textId="77777777" w:rsidR="004E7892" w:rsidRPr="002B2821" w:rsidRDefault="004E7892" w:rsidP="009C043E">
            <w:pPr>
              <w:pStyle w:val="TableRowHeader"/>
              <w:spacing w:before="0" w:after="0" w:line="240" w:lineRule="auto"/>
              <w:ind w:left="0"/>
              <w:rPr>
                <w:rFonts w:asciiTheme="minorHAnsi" w:hAnsiTheme="minorHAnsi" w:cs="Arial"/>
                <w:sz w:val="24"/>
                <w:szCs w:val="24"/>
              </w:rPr>
            </w:pPr>
          </w:p>
          <w:p w14:paraId="4EA54703" w14:textId="77777777" w:rsidR="001B7EB7" w:rsidRPr="002B2821" w:rsidRDefault="009C043E" w:rsidP="009C043E">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 xml:space="preserve">manage </w:t>
            </w:r>
            <w:r w:rsidR="001B7EB7" w:rsidRPr="002B2821">
              <w:rPr>
                <w:rFonts w:asciiTheme="minorHAnsi" w:hAnsiTheme="minorHAnsi" w:cs="Arial"/>
                <w:sz w:val="24"/>
                <w:szCs w:val="24"/>
              </w:rPr>
              <w:t xml:space="preserve">their financial </w:t>
            </w:r>
            <w:r w:rsidRPr="002B2821">
              <w:rPr>
                <w:rFonts w:asciiTheme="minorHAnsi" w:hAnsiTheme="minorHAnsi" w:cs="Arial"/>
                <w:sz w:val="24"/>
                <w:szCs w:val="24"/>
              </w:rPr>
              <w:t>affa</w:t>
            </w:r>
            <w:r w:rsidR="001B7EB7" w:rsidRPr="002B2821">
              <w:rPr>
                <w:rFonts w:asciiTheme="minorHAnsi" w:hAnsiTheme="minorHAnsi" w:cs="Arial"/>
                <w:sz w:val="24"/>
                <w:szCs w:val="24"/>
              </w:rPr>
              <w:t>irs</w:t>
            </w:r>
          </w:p>
        </w:tc>
        <w:tc>
          <w:tcPr>
            <w:tcW w:w="283" w:type="dxa"/>
          </w:tcPr>
          <w:p w14:paraId="35A20C3E" w14:textId="77777777" w:rsidR="001B7EB7" w:rsidRPr="002B2821" w:rsidRDefault="001B7EB7">
            <w:pPr>
              <w:pStyle w:val="TableFigure"/>
              <w:tabs>
                <w:tab w:val="clear" w:pos="851"/>
              </w:tabs>
              <w:spacing w:before="0"/>
              <w:jc w:val="right"/>
              <w:rPr>
                <w:rFonts w:asciiTheme="minorHAnsi" w:hAnsiTheme="minorHAnsi" w:cs="Arial"/>
                <w:sz w:val="24"/>
                <w:szCs w:val="24"/>
              </w:rPr>
            </w:pPr>
          </w:p>
        </w:tc>
        <w:tc>
          <w:tcPr>
            <w:tcW w:w="1559" w:type="dxa"/>
            <w:tcBorders>
              <w:bottom w:val="single" w:sz="4" w:space="0" w:color="auto"/>
            </w:tcBorders>
            <w:vAlign w:val="center"/>
          </w:tcPr>
          <w:p w14:paraId="24BC6B4F" w14:textId="77777777" w:rsidR="001B7EB7" w:rsidRPr="002B2821" w:rsidRDefault="00484588" w:rsidP="00AD493F">
            <w:pPr>
              <w:pStyle w:val="TableFigure"/>
              <w:tabs>
                <w:tab w:val="clear" w:pos="851"/>
              </w:tabs>
              <w:spacing w:before="0"/>
              <w:jc w:val="right"/>
              <w:rPr>
                <w:rFonts w:asciiTheme="minorHAnsi" w:hAnsiTheme="minorHAnsi" w:cs="Arial"/>
                <w:bCs/>
                <w:color w:val="000000" w:themeColor="text1"/>
                <w:sz w:val="24"/>
                <w:szCs w:val="24"/>
              </w:rPr>
            </w:pPr>
            <w:r w:rsidRPr="002B2821">
              <w:rPr>
                <w:rFonts w:asciiTheme="minorHAnsi" w:hAnsiTheme="minorHAnsi" w:cs="Arial"/>
                <w:bCs/>
                <w:color w:val="000000" w:themeColor="text1"/>
                <w:sz w:val="24"/>
                <w:szCs w:val="24"/>
              </w:rPr>
              <w:t>1</w:t>
            </w:r>
            <w:r w:rsidR="00AD493F" w:rsidRPr="002B2821">
              <w:rPr>
                <w:rFonts w:asciiTheme="minorHAnsi" w:hAnsiTheme="minorHAnsi" w:cs="Arial"/>
                <w:bCs/>
                <w:color w:val="000000" w:themeColor="text1"/>
                <w:sz w:val="24"/>
                <w:szCs w:val="24"/>
              </w:rPr>
              <w:t>3</w:t>
            </w:r>
          </w:p>
        </w:tc>
        <w:tc>
          <w:tcPr>
            <w:tcW w:w="1276" w:type="dxa"/>
            <w:tcBorders>
              <w:bottom w:val="single" w:sz="4" w:space="0" w:color="auto"/>
            </w:tcBorders>
            <w:vAlign w:val="center"/>
          </w:tcPr>
          <w:p w14:paraId="6B6D85CC" w14:textId="5D5E6DFA" w:rsidR="001B7EB7" w:rsidRPr="002B2821" w:rsidRDefault="00D0243E" w:rsidP="00AD493F">
            <w:pPr>
              <w:pStyle w:val="TableFigure"/>
              <w:tabs>
                <w:tab w:val="clear" w:pos="851"/>
              </w:tabs>
              <w:spacing w:before="0"/>
              <w:jc w:val="right"/>
              <w:rPr>
                <w:rFonts w:asciiTheme="minorHAnsi" w:hAnsiTheme="minorHAnsi" w:cs="Arial"/>
                <w:bCs/>
                <w:color w:val="000000" w:themeColor="text1"/>
                <w:sz w:val="24"/>
                <w:szCs w:val="24"/>
              </w:rPr>
            </w:pPr>
            <w:r w:rsidRPr="002B2821">
              <w:rPr>
                <w:rFonts w:asciiTheme="minorHAnsi" w:hAnsiTheme="minorHAnsi" w:cs="Arial"/>
                <w:bCs/>
                <w:color w:val="000000" w:themeColor="text1"/>
                <w:sz w:val="24"/>
                <w:szCs w:val="24"/>
              </w:rPr>
              <w:t>851</w:t>
            </w:r>
          </w:p>
        </w:tc>
        <w:tc>
          <w:tcPr>
            <w:tcW w:w="1418" w:type="dxa"/>
            <w:tcBorders>
              <w:bottom w:val="single" w:sz="4" w:space="0" w:color="auto"/>
            </w:tcBorders>
            <w:vAlign w:val="center"/>
          </w:tcPr>
          <w:p w14:paraId="63B2C39D" w14:textId="1837CFAE" w:rsidR="001B7EB7" w:rsidRPr="002B2821" w:rsidRDefault="00E45A9B" w:rsidP="00EB51E9">
            <w:pPr>
              <w:pStyle w:val="TableFigure"/>
              <w:tabs>
                <w:tab w:val="clear" w:pos="851"/>
              </w:tabs>
              <w:spacing w:before="0"/>
              <w:jc w:val="right"/>
              <w:rPr>
                <w:rFonts w:asciiTheme="minorHAnsi" w:hAnsiTheme="minorHAnsi" w:cs="Arial"/>
                <w:b w:val="0"/>
                <w:bCs/>
                <w:sz w:val="24"/>
                <w:szCs w:val="24"/>
              </w:rPr>
            </w:pPr>
            <w:r w:rsidRPr="002B2821">
              <w:rPr>
                <w:rFonts w:asciiTheme="minorHAnsi" w:hAnsiTheme="minorHAnsi" w:cs="Arial"/>
                <w:b w:val="0"/>
                <w:bCs/>
                <w:sz w:val="24"/>
                <w:szCs w:val="24"/>
              </w:rPr>
              <w:t>1</w:t>
            </w:r>
            <w:r w:rsidR="00EB51E9" w:rsidRPr="002B2821">
              <w:rPr>
                <w:rFonts w:asciiTheme="minorHAnsi" w:hAnsiTheme="minorHAnsi" w:cs="Arial"/>
                <w:b w:val="0"/>
                <w:bCs/>
                <w:sz w:val="24"/>
                <w:szCs w:val="24"/>
              </w:rPr>
              <w:t>3</w:t>
            </w:r>
          </w:p>
        </w:tc>
        <w:tc>
          <w:tcPr>
            <w:tcW w:w="1133" w:type="dxa"/>
            <w:tcBorders>
              <w:bottom w:val="single" w:sz="4" w:space="0" w:color="auto"/>
            </w:tcBorders>
            <w:vAlign w:val="center"/>
          </w:tcPr>
          <w:p w14:paraId="5C075C70" w14:textId="72C40856" w:rsidR="001B7EB7" w:rsidRPr="002B2821" w:rsidRDefault="00EB51E9" w:rsidP="008016A6">
            <w:pPr>
              <w:pStyle w:val="TableFigure"/>
              <w:tabs>
                <w:tab w:val="clear" w:pos="851"/>
              </w:tabs>
              <w:spacing w:before="0"/>
              <w:jc w:val="right"/>
              <w:rPr>
                <w:rFonts w:asciiTheme="minorHAnsi" w:hAnsiTheme="minorHAnsi" w:cs="Arial"/>
                <w:b w:val="0"/>
                <w:bCs/>
                <w:sz w:val="24"/>
                <w:szCs w:val="24"/>
              </w:rPr>
            </w:pPr>
            <w:r w:rsidRPr="002B2821">
              <w:rPr>
                <w:rFonts w:asciiTheme="minorHAnsi" w:hAnsiTheme="minorHAnsi" w:cs="Arial"/>
                <w:b w:val="0"/>
                <w:bCs/>
                <w:sz w:val="24"/>
                <w:szCs w:val="24"/>
              </w:rPr>
              <w:t>2,033</w:t>
            </w:r>
          </w:p>
        </w:tc>
      </w:tr>
      <w:tr w:rsidR="001B7EB7" w:rsidRPr="002B2821" w14:paraId="63AFF5A3" w14:textId="77777777" w:rsidTr="008A1DB8">
        <w:trPr>
          <w:trHeight w:hRule="exact" w:val="404"/>
          <w:jc w:val="center"/>
        </w:trPr>
        <w:tc>
          <w:tcPr>
            <w:tcW w:w="3261" w:type="dxa"/>
            <w:vAlign w:val="center"/>
          </w:tcPr>
          <w:p w14:paraId="3219A665" w14:textId="77777777" w:rsidR="001B7EB7" w:rsidRPr="002B2821" w:rsidRDefault="00DA5BB1">
            <w:pPr>
              <w:pStyle w:val="TableRowHeader"/>
              <w:spacing w:before="0" w:after="0" w:line="240" w:lineRule="auto"/>
              <w:ind w:left="0"/>
              <w:rPr>
                <w:rFonts w:asciiTheme="minorHAnsi" w:hAnsiTheme="minorHAnsi" w:cs="Arial"/>
                <w:b/>
                <w:sz w:val="24"/>
                <w:szCs w:val="24"/>
              </w:rPr>
            </w:pPr>
            <w:r w:rsidRPr="002B2821">
              <w:rPr>
                <w:rFonts w:asciiTheme="minorHAnsi" w:hAnsiTheme="minorHAnsi" w:cs="Arial"/>
                <w:b/>
                <w:sz w:val="24"/>
                <w:szCs w:val="24"/>
              </w:rPr>
              <w:t>Total of Grants</w:t>
            </w:r>
          </w:p>
        </w:tc>
        <w:tc>
          <w:tcPr>
            <w:tcW w:w="283" w:type="dxa"/>
          </w:tcPr>
          <w:p w14:paraId="1D1135ED" w14:textId="77777777" w:rsidR="001B7EB7" w:rsidRPr="002B2821" w:rsidRDefault="001B7EB7">
            <w:pPr>
              <w:pStyle w:val="TableFigure"/>
              <w:tabs>
                <w:tab w:val="clear" w:pos="851"/>
              </w:tabs>
              <w:spacing w:before="0"/>
              <w:jc w:val="right"/>
              <w:rPr>
                <w:rFonts w:asciiTheme="minorHAnsi" w:hAnsiTheme="minorHAnsi" w:cs="Arial"/>
                <w:sz w:val="24"/>
                <w:szCs w:val="24"/>
              </w:rPr>
            </w:pPr>
          </w:p>
        </w:tc>
        <w:tc>
          <w:tcPr>
            <w:tcW w:w="1559" w:type="dxa"/>
            <w:tcBorders>
              <w:top w:val="single" w:sz="4" w:space="0" w:color="auto"/>
              <w:bottom w:val="single" w:sz="4" w:space="0" w:color="auto"/>
            </w:tcBorders>
            <w:vAlign w:val="center"/>
          </w:tcPr>
          <w:p w14:paraId="384E98A5" w14:textId="07324A51" w:rsidR="001B7EB7" w:rsidRPr="002B2821" w:rsidRDefault="00601D6D" w:rsidP="00E01BD5">
            <w:pPr>
              <w:pStyle w:val="TableFigure"/>
              <w:tabs>
                <w:tab w:val="clear" w:pos="851"/>
              </w:tabs>
              <w:spacing w:before="0"/>
              <w:jc w:val="right"/>
              <w:rPr>
                <w:rFonts w:asciiTheme="minorHAnsi" w:hAnsiTheme="minorHAnsi" w:cs="Arial"/>
                <w:bCs/>
                <w:color w:val="000000" w:themeColor="text1"/>
                <w:sz w:val="24"/>
                <w:szCs w:val="24"/>
              </w:rPr>
            </w:pPr>
            <w:r w:rsidRPr="002B2821">
              <w:rPr>
                <w:rFonts w:asciiTheme="minorHAnsi" w:hAnsiTheme="minorHAnsi" w:cs="Arial"/>
                <w:bCs/>
                <w:color w:val="000000" w:themeColor="text1"/>
                <w:sz w:val="24"/>
                <w:szCs w:val="24"/>
              </w:rPr>
              <w:t>466</w:t>
            </w:r>
          </w:p>
        </w:tc>
        <w:tc>
          <w:tcPr>
            <w:tcW w:w="1276" w:type="dxa"/>
            <w:tcBorders>
              <w:top w:val="single" w:sz="4" w:space="0" w:color="auto"/>
              <w:bottom w:val="single" w:sz="4" w:space="0" w:color="auto"/>
            </w:tcBorders>
            <w:vAlign w:val="center"/>
          </w:tcPr>
          <w:p w14:paraId="3A42B9B9" w14:textId="30295DAC" w:rsidR="001B7EB7" w:rsidRPr="002B2821" w:rsidRDefault="00601D6D" w:rsidP="00601D6D">
            <w:pPr>
              <w:pStyle w:val="TableFigure"/>
              <w:tabs>
                <w:tab w:val="clear" w:pos="851"/>
              </w:tabs>
              <w:spacing w:before="0"/>
              <w:jc w:val="right"/>
              <w:rPr>
                <w:rFonts w:asciiTheme="minorHAnsi" w:hAnsiTheme="minorHAnsi" w:cs="Arial"/>
                <w:bCs/>
                <w:color w:val="000000" w:themeColor="text1"/>
                <w:sz w:val="24"/>
                <w:szCs w:val="24"/>
              </w:rPr>
            </w:pPr>
            <w:r w:rsidRPr="002B2821">
              <w:rPr>
                <w:rFonts w:asciiTheme="minorHAnsi" w:hAnsiTheme="minorHAnsi" w:cs="Arial"/>
                <w:bCs/>
                <w:color w:val="000000" w:themeColor="text1"/>
                <w:sz w:val="24"/>
                <w:szCs w:val="24"/>
              </w:rPr>
              <w:t>18,752</w:t>
            </w:r>
          </w:p>
        </w:tc>
        <w:tc>
          <w:tcPr>
            <w:tcW w:w="1418" w:type="dxa"/>
            <w:tcBorders>
              <w:top w:val="single" w:sz="4" w:space="0" w:color="auto"/>
              <w:bottom w:val="single" w:sz="4" w:space="0" w:color="auto"/>
            </w:tcBorders>
            <w:vAlign w:val="center"/>
          </w:tcPr>
          <w:p w14:paraId="2CDBC87F" w14:textId="636239CE" w:rsidR="001B7EB7" w:rsidRPr="002B2821" w:rsidRDefault="00E45A9B" w:rsidP="00EB51E9">
            <w:pPr>
              <w:pStyle w:val="TableFigure"/>
              <w:tabs>
                <w:tab w:val="clear" w:pos="851"/>
              </w:tabs>
              <w:spacing w:before="0"/>
              <w:jc w:val="right"/>
              <w:rPr>
                <w:rFonts w:asciiTheme="minorHAnsi" w:hAnsiTheme="minorHAnsi" w:cs="Arial"/>
                <w:b w:val="0"/>
                <w:bCs/>
                <w:sz w:val="24"/>
                <w:szCs w:val="24"/>
              </w:rPr>
            </w:pPr>
            <w:r w:rsidRPr="002B2821">
              <w:rPr>
                <w:rFonts w:asciiTheme="minorHAnsi" w:hAnsiTheme="minorHAnsi" w:cs="Arial"/>
                <w:b w:val="0"/>
                <w:bCs/>
                <w:sz w:val="24"/>
                <w:szCs w:val="24"/>
              </w:rPr>
              <w:t>46</w:t>
            </w:r>
            <w:r w:rsidR="00EB51E9" w:rsidRPr="002B2821">
              <w:rPr>
                <w:rFonts w:asciiTheme="minorHAnsi" w:hAnsiTheme="minorHAnsi" w:cs="Arial"/>
                <w:b w:val="0"/>
                <w:bCs/>
                <w:sz w:val="24"/>
                <w:szCs w:val="24"/>
              </w:rPr>
              <w:t>8</w:t>
            </w:r>
          </w:p>
        </w:tc>
        <w:tc>
          <w:tcPr>
            <w:tcW w:w="1133" w:type="dxa"/>
            <w:tcBorders>
              <w:top w:val="single" w:sz="4" w:space="0" w:color="auto"/>
              <w:bottom w:val="single" w:sz="4" w:space="0" w:color="auto"/>
            </w:tcBorders>
            <w:vAlign w:val="center"/>
          </w:tcPr>
          <w:p w14:paraId="06A78542" w14:textId="0C94A01D" w:rsidR="001B7EB7" w:rsidRPr="002B2821" w:rsidRDefault="00EB51E9" w:rsidP="008016A6">
            <w:pPr>
              <w:pStyle w:val="TableFigure"/>
              <w:tabs>
                <w:tab w:val="clear" w:pos="851"/>
              </w:tabs>
              <w:spacing w:before="0"/>
              <w:jc w:val="right"/>
              <w:rPr>
                <w:rFonts w:asciiTheme="minorHAnsi" w:hAnsiTheme="minorHAnsi" w:cs="Arial"/>
                <w:b w:val="0"/>
                <w:bCs/>
                <w:sz w:val="24"/>
                <w:szCs w:val="24"/>
              </w:rPr>
            </w:pPr>
            <w:r w:rsidRPr="002B2821">
              <w:rPr>
                <w:rFonts w:asciiTheme="minorHAnsi" w:hAnsiTheme="minorHAnsi" w:cs="Arial"/>
                <w:b w:val="0"/>
                <w:bCs/>
                <w:sz w:val="24"/>
                <w:szCs w:val="24"/>
              </w:rPr>
              <w:t>45,459</w:t>
            </w:r>
          </w:p>
        </w:tc>
      </w:tr>
    </w:tbl>
    <w:p w14:paraId="52360497" w14:textId="77777777" w:rsidR="00DB4ECE" w:rsidRPr="002B2821" w:rsidRDefault="00DB4ECE" w:rsidP="00B51152">
      <w:pPr>
        <w:pStyle w:val="BodyText"/>
        <w:spacing w:after="0" w:line="240" w:lineRule="auto"/>
        <w:rPr>
          <w:rFonts w:asciiTheme="minorHAnsi" w:hAnsiTheme="minorHAnsi" w:cs="Arial"/>
          <w:sz w:val="24"/>
          <w:szCs w:val="24"/>
        </w:rPr>
      </w:pPr>
    </w:p>
    <w:p w14:paraId="40149E61" w14:textId="079F0050" w:rsidR="00FF38FB" w:rsidRPr="002B2821" w:rsidRDefault="00FF38FB" w:rsidP="00096730">
      <w:pPr>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 xml:space="preserve">Restricted Funds: Departments of Health </w:t>
      </w:r>
      <w:r w:rsidR="00BC4715" w:rsidRPr="000E7AE0">
        <w:rPr>
          <w:rFonts w:asciiTheme="minorHAnsi" w:hAnsiTheme="minorHAnsi" w:cs="Arial"/>
          <w:b/>
          <w:color w:val="442359"/>
          <w:sz w:val="24"/>
          <w:szCs w:val="24"/>
        </w:rPr>
        <w:t xml:space="preserve">and Social Care </w:t>
      </w:r>
      <w:r w:rsidRPr="002B2821">
        <w:rPr>
          <w:rFonts w:asciiTheme="minorHAnsi" w:hAnsiTheme="minorHAnsi" w:cs="Arial"/>
          <w:b/>
          <w:color w:val="442359"/>
          <w:sz w:val="24"/>
          <w:szCs w:val="24"/>
        </w:rPr>
        <w:t>Grants</w:t>
      </w:r>
    </w:p>
    <w:p w14:paraId="6F03BC03" w14:textId="215136E6" w:rsidR="00FF38FB" w:rsidRPr="002B2821" w:rsidRDefault="00FF38FB" w:rsidP="00E540A0">
      <w:pPr>
        <w:autoSpaceDE w:val="0"/>
        <w:autoSpaceDN w:val="0"/>
        <w:adjustRightInd w:val="0"/>
        <w:spacing w:after="180" w:line="240" w:lineRule="auto"/>
        <w:rPr>
          <w:rFonts w:asciiTheme="minorHAnsi" w:hAnsiTheme="minorHAnsi" w:cs="Arial"/>
          <w:sz w:val="24"/>
          <w:szCs w:val="24"/>
        </w:rPr>
      </w:pPr>
      <w:r w:rsidRPr="002B2821">
        <w:rPr>
          <w:rFonts w:asciiTheme="minorHAnsi" w:hAnsiTheme="minorHAnsi" w:cs="Arial"/>
          <w:sz w:val="24"/>
          <w:szCs w:val="24"/>
        </w:rPr>
        <w:t xml:space="preserve">The </w:t>
      </w:r>
      <w:r w:rsidR="009C043E" w:rsidRPr="002B2821">
        <w:rPr>
          <w:rFonts w:asciiTheme="minorHAnsi" w:hAnsiTheme="minorHAnsi" w:cs="Arial"/>
          <w:sz w:val="24"/>
          <w:szCs w:val="24"/>
        </w:rPr>
        <w:t xml:space="preserve">four UK </w:t>
      </w:r>
      <w:r w:rsidRPr="002B2821">
        <w:rPr>
          <w:rFonts w:asciiTheme="minorHAnsi" w:hAnsiTheme="minorHAnsi" w:cs="Arial"/>
          <w:sz w:val="24"/>
          <w:szCs w:val="24"/>
        </w:rPr>
        <w:t xml:space="preserve">Health </w:t>
      </w:r>
      <w:r w:rsidR="00BC4715">
        <w:rPr>
          <w:rFonts w:asciiTheme="minorHAnsi" w:hAnsiTheme="minorHAnsi" w:cs="Arial"/>
          <w:sz w:val="24"/>
          <w:szCs w:val="24"/>
        </w:rPr>
        <w:t xml:space="preserve">and Social Care </w:t>
      </w:r>
      <w:r w:rsidRPr="002B2821">
        <w:rPr>
          <w:rFonts w:asciiTheme="minorHAnsi" w:hAnsiTheme="minorHAnsi" w:cs="Arial"/>
          <w:sz w:val="24"/>
          <w:szCs w:val="24"/>
        </w:rPr>
        <w:t xml:space="preserve">Departments </w:t>
      </w:r>
      <w:r w:rsidR="00EC5D43">
        <w:rPr>
          <w:rFonts w:asciiTheme="minorHAnsi" w:hAnsiTheme="minorHAnsi" w:cs="Arial"/>
          <w:sz w:val="24"/>
          <w:szCs w:val="24"/>
        </w:rPr>
        <w:t xml:space="preserve">provide </w:t>
      </w:r>
      <w:r w:rsidRPr="002B2821">
        <w:rPr>
          <w:rFonts w:asciiTheme="minorHAnsi" w:hAnsiTheme="minorHAnsi" w:cs="Arial"/>
          <w:sz w:val="24"/>
          <w:szCs w:val="24"/>
        </w:rPr>
        <w:t xml:space="preserve">funding </w:t>
      </w:r>
      <w:r w:rsidR="00EC5D43">
        <w:rPr>
          <w:rFonts w:asciiTheme="minorHAnsi" w:hAnsiTheme="minorHAnsi" w:cs="Arial"/>
          <w:sz w:val="24"/>
          <w:szCs w:val="24"/>
        </w:rPr>
        <w:t xml:space="preserve">for the </w:t>
      </w:r>
      <w:r w:rsidR="00DA0472" w:rsidRPr="002B2821">
        <w:rPr>
          <w:rFonts w:asciiTheme="minorHAnsi" w:hAnsiTheme="minorHAnsi" w:cs="Arial"/>
          <w:sz w:val="24"/>
          <w:szCs w:val="24"/>
        </w:rPr>
        <w:t>H</w:t>
      </w:r>
      <w:r w:rsidRPr="002B2821">
        <w:rPr>
          <w:rFonts w:asciiTheme="minorHAnsi" w:hAnsiTheme="minorHAnsi" w:cs="Arial"/>
          <w:sz w:val="24"/>
          <w:szCs w:val="24"/>
        </w:rPr>
        <w:t xml:space="preserve">ealth </w:t>
      </w:r>
      <w:r w:rsidR="00EC5D43" w:rsidRPr="002B2821">
        <w:rPr>
          <w:rFonts w:asciiTheme="minorHAnsi" w:hAnsiTheme="minorHAnsi" w:cs="Arial"/>
          <w:sz w:val="24"/>
          <w:szCs w:val="24"/>
        </w:rPr>
        <w:t>Grants</w:t>
      </w:r>
      <w:r w:rsidR="00EC5D43">
        <w:rPr>
          <w:rFonts w:asciiTheme="minorHAnsi" w:hAnsiTheme="minorHAnsi" w:cs="Arial"/>
          <w:sz w:val="24"/>
          <w:szCs w:val="24"/>
        </w:rPr>
        <w:t xml:space="preserve"> under an agreement </w:t>
      </w:r>
      <w:r w:rsidRPr="002B2821">
        <w:rPr>
          <w:rFonts w:asciiTheme="minorHAnsi" w:hAnsiTheme="minorHAnsi" w:cs="Arial"/>
          <w:sz w:val="24"/>
          <w:szCs w:val="24"/>
        </w:rPr>
        <w:t xml:space="preserve">for the period 2013 to </w:t>
      </w:r>
      <w:r w:rsidR="004806C6" w:rsidRPr="002B2821">
        <w:rPr>
          <w:rFonts w:asciiTheme="minorHAnsi" w:hAnsiTheme="minorHAnsi" w:cs="Arial"/>
          <w:sz w:val="24"/>
          <w:szCs w:val="24"/>
        </w:rPr>
        <w:t>2022</w:t>
      </w:r>
      <w:r w:rsidR="00EC5D43">
        <w:rPr>
          <w:rFonts w:asciiTheme="minorHAnsi" w:hAnsiTheme="minorHAnsi" w:cs="Arial"/>
          <w:sz w:val="24"/>
          <w:szCs w:val="24"/>
        </w:rPr>
        <w:t>.</w:t>
      </w:r>
    </w:p>
    <w:p w14:paraId="1E00EF69" w14:textId="6B15D2B6" w:rsidR="00FF38FB" w:rsidRPr="002B2821" w:rsidRDefault="00FF38FB" w:rsidP="00E540A0">
      <w:pPr>
        <w:autoSpaceDE w:val="0"/>
        <w:autoSpaceDN w:val="0"/>
        <w:adjustRightInd w:val="0"/>
        <w:spacing w:after="180" w:line="240" w:lineRule="auto"/>
        <w:rPr>
          <w:rFonts w:asciiTheme="minorHAnsi" w:hAnsiTheme="minorHAnsi" w:cs="Arial"/>
          <w:sz w:val="24"/>
          <w:szCs w:val="24"/>
        </w:rPr>
      </w:pPr>
      <w:r w:rsidRPr="002B2821">
        <w:rPr>
          <w:rFonts w:asciiTheme="minorHAnsi" w:hAnsiTheme="minorHAnsi" w:cs="Arial"/>
          <w:sz w:val="24"/>
          <w:szCs w:val="24"/>
        </w:rPr>
        <w:t xml:space="preserve">Health Grant funding is distributed in accordance with the Trust’s existing distribution policy. The costs associated with administering the scheme are met from the funding. </w:t>
      </w:r>
      <w:r w:rsidRPr="002B2821">
        <w:rPr>
          <w:rFonts w:asciiTheme="minorHAnsi" w:hAnsiTheme="minorHAnsi" w:cs="Arial"/>
          <w:sz w:val="24"/>
          <w:szCs w:val="24"/>
          <w:lang w:eastAsia="en-GB"/>
        </w:rPr>
        <w:t>Details of Health Grant direct and indirect costs are set out in note 6. The level of costs charged has been determined by reference to factors such as the time spent on Health Grant related work</w:t>
      </w:r>
      <w:r w:rsidR="00EC5D43">
        <w:rPr>
          <w:rFonts w:asciiTheme="minorHAnsi" w:hAnsiTheme="minorHAnsi" w:cs="Arial"/>
          <w:sz w:val="24"/>
          <w:szCs w:val="24"/>
          <w:lang w:eastAsia="en-GB"/>
        </w:rPr>
        <w:t xml:space="preserve"> (</w:t>
      </w:r>
      <w:r w:rsidR="00BC4715">
        <w:rPr>
          <w:rFonts w:asciiTheme="minorHAnsi" w:hAnsiTheme="minorHAnsi" w:cs="Arial"/>
          <w:sz w:val="24"/>
          <w:szCs w:val="24"/>
          <w:lang w:eastAsia="en-GB"/>
        </w:rPr>
        <w:t>both administering and monitoring /reporting activities)</w:t>
      </w:r>
      <w:r w:rsidRPr="002B2821">
        <w:rPr>
          <w:rFonts w:asciiTheme="minorHAnsi" w:hAnsiTheme="minorHAnsi" w:cs="Arial"/>
          <w:sz w:val="24"/>
          <w:szCs w:val="24"/>
          <w:lang w:eastAsia="en-GB"/>
        </w:rPr>
        <w:t>, together with appropriate proportions of operating costs.</w:t>
      </w:r>
    </w:p>
    <w:p w14:paraId="173178F8" w14:textId="4BAFB800" w:rsidR="00701A08" w:rsidRPr="002B2821" w:rsidRDefault="00701A08" w:rsidP="00E540A0">
      <w:pPr>
        <w:pStyle w:val="BodyText"/>
        <w:spacing w:after="180" w:line="240" w:lineRule="auto"/>
        <w:rPr>
          <w:rFonts w:asciiTheme="minorHAnsi" w:hAnsiTheme="minorHAnsi" w:cs="Arial"/>
          <w:sz w:val="24"/>
          <w:szCs w:val="24"/>
        </w:rPr>
      </w:pPr>
      <w:r w:rsidRPr="002B2821">
        <w:rPr>
          <w:rFonts w:asciiTheme="minorHAnsi" w:hAnsiTheme="minorHAnsi" w:cs="Arial"/>
          <w:sz w:val="24"/>
          <w:szCs w:val="24"/>
        </w:rPr>
        <w:t xml:space="preserve">Trust staff and beneficiary representatives meet with each </w:t>
      </w:r>
      <w:r w:rsidR="00BC4715">
        <w:rPr>
          <w:rFonts w:asciiTheme="minorHAnsi" w:hAnsiTheme="minorHAnsi" w:cs="Arial"/>
          <w:sz w:val="24"/>
          <w:szCs w:val="24"/>
        </w:rPr>
        <w:t xml:space="preserve">of the </w:t>
      </w:r>
      <w:r w:rsidRPr="002B2821">
        <w:rPr>
          <w:rFonts w:asciiTheme="minorHAnsi" w:hAnsiTheme="minorHAnsi" w:cs="Arial"/>
          <w:sz w:val="24"/>
          <w:szCs w:val="24"/>
        </w:rPr>
        <w:t xml:space="preserve">Health </w:t>
      </w:r>
      <w:r w:rsidR="00BC4715">
        <w:rPr>
          <w:rFonts w:asciiTheme="minorHAnsi" w:hAnsiTheme="minorHAnsi" w:cs="Arial"/>
          <w:sz w:val="24"/>
          <w:szCs w:val="24"/>
        </w:rPr>
        <w:t xml:space="preserve">and Social Care </w:t>
      </w:r>
      <w:r w:rsidRPr="002B2821">
        <w:rPr>
          <w:rFonts w:asciiTheme="minorHAnsi" w:hAnsiTheme="minorHAnsi" w:cs="Arial"/>
          <w:sz w:val="24"/>
          <w:szCs w:val="24"/>
        </w:rPr>
        <w:t>Department</w:t>
      </w:r>
      <w:r w:rsidR="00BC4715">
        <w:rPr>
          <w:rFonts w:asciiTheme="minorHAnsi" w:hAnsiTheme="minorHAnsi" w:cs="Arial"/>
          <w:sz w:val="24"/>
          <w:szCs w:val="24"/>
        </w:rPr>
        <w:t>s</w:t>
      </w:r>
      <w:r w:rsidRPr="002B2821">
        <w:rPr>
          <w:rFonts w:asciiTheme="minorHAnsi" w:hAnsiTheme="minorHAnsi" w:cs="Arial"/>
          <w:sz w:val="24"/>
          <w:szCs w:val="24"/>
        </w:rPr>
        <w:t xml:space="preserve"> on an ongoing basis</w:t>
      </w:r>
      <w:r w:rsidR="00EC5D43">
        <w:rPr>
          <w:rFonts w:asciiTheme="minorHAnsi" w:hAnsiTheme="minorHAnsi" w:cs="Arial"/>
          <w:sz w:val="24"/>
          <w:szCs w:val="24"/>
        </w:rPr>
        <w:t xml:space="preserve">.  </w:t>
      </w:r>
      <w:r w:rsidRPr="002B2821">
        <w:rPr>
          <w:rFonts w:asciiTheme="minorHAnsi" w:hAnsiTheme="minorHAnsi" w:cs="Arial"/>
          <w:sz w:val="24"/>
          <w:szCs w:val="24"/>
        </w:rPr>
        <w:t>One of the key objectives of the</w:t>
      </w:r>
      <w:r w:rsidR="00BC4715">
        <w:rPr>
          <w:rFonts w:asciiTheme="minorHAnsi" w:hAnsiTheme="minorHAnsi" w:cs="Arial"/>
          <w:sz w:val="24"/>
          <w:szCs w:val="24"/>
        </w:rPr>
        <w:t>se</w:t>
      </w:r>
      <w:r w:rsidRPr="002B2821">
        <w:rPr>
          <w:rFonts w:asciiTheme="minorHAnsi" w:hAnsiTheme="minorHAnsi" w:cs="Arial"/>
          <w:sz w:val="24"/>
          <w:szCs w:val="24"/>
        </w:rPr>
        <w:t xml:space="preserve"> reviews and </w:t>
      </w:r>
      <w:r w:rsidR="00A67AC1">
        <w:rPr>
          <w:rFonts w:asciiTheme="minorHAnsi" w:hAnsiTheme="minorHAnsi" w:cs="Arial"/>
          <w:sz w:val="24"/>
          <w:szCs w:val="24"/>
        </w:rPr>
        <w:t xml:space="preserve">the </w:t>
      </w:r>
      <w:r w:rsidRPr="002B2821">
        <w:rPr>
          <w:rFonts w:asciiTheme="minorHAnsi" w:hAnsiTheme="minorHAnsi" w:cs="Arial"/>
          <w:sz w:val="24"/>
          <w:szCs w:val="24"/>
        </w:rPr>
        <w:t xml:space="preserve">related negotiations is </w:t>
      </w:r>
      <w:r w:rsidR="00061036">
        <w:rPr>
          <w:rFonts w:asciiTheme="minorHAnsi" w:hAnsiTheme="minorHAnsi" w:cs="Arial"/>
          <w:sz w:val="24"/>
          <w:szCs w:val="24"/>
        </w:rPr>
        <w:t xml:space="preserve">to actively manage the </w:t>
      </w:r>
      <w:r w:rsidR="00EC5D43">
        <w:rPr>
          <w:rFonts w:asciiTheme="minorHAnsi" w:hAnsiTheme="minorHAnsi" w:cs="Arial"/>
          <w:sz w:val="24"/>
          <w:szCs w:val="24"/>
        </w:rPr>
        <w:t xml:space="preserve">level of </w:t>
      </w:r>
      <w:r w:rsidR="00661238">
        <w:rPr>
          <w:rFonts w:asciiTheme="minorHAnsi" w:hAnsiTheme="minorHAnsi" w:cs="Arial"/>
          <w:sz w:val="24"/>
          <w:szCs w:val="24"/>
        </w:rPr>
        <w:t xml:space="preserve">support requested </w:t>
      </w:r>
      <w:r w:rsidR="00EC5D43">
        <w:rPr>
          <w:rFonts w:asciiTheme="minorHAnsi" w:hAnsiTheme="minorHAnsi" w:cs="Arial"/>
          <w:sz w:val="24"/>
          <w:szCs w:val="24"/>
        </w:rPr>
        <w:t>from t</w:t>
      </w:r>
      <w:r w:rsidR="00EC5D43" w:rsidRPr="002B2821">
        <w:rPr>
          <w:rFonts w:asciiTheme="minorHAnsi" w:hAnsiTheme="minorHAnsi" w:cs="Arial"/>
          <w:sz w:val="24"/>
          <w:szCs w:val="24"/>
        </w:rPr>
        <w:t xml:space="preserve">he four UK Health </w:t>
      </w:r>
      <w:r w:rsidR="00EC5D43">
        <w:rPr>
          <w:rFonts w:asciiTheme="minorHAnsi" w:hAnsiTheme="minorHAnsi" w:cs="Arial"/>
          <w:sz w:val="24"/>
          <w:szCs w:val="24"/>
        </w:rPr>
        <w:t xml:space="preserve">and Social Care </w:t>
      </w:r>
      <w:r w:rsidR="00EC5D43" w:rsidRPr="002B2821">
        <w:rPr>
          <w:rFonts w:asciiTheme="minorHAnsi" w:hAnsiTheme="minorHAnsi" w:cs="Arial"/>
          <w:sz w:val="24"/>
          <w:szCs w:val="24"/>
        </w:rPr>
        <w:t>Departments</w:t>
      </w:r>
      <w:r w:rsidR="00096730">
        <w:rPr>
          <w:rFonts w:asciiTheme="minorHAnsi" w:hAnsiTheme="minorHAnsi" w:cs="Arial"/>
          <w:sz w:val="24"/>
          <w:szCs w:val="24"/>
        </w:rPr>
        <w:t xml:space="preserve"> </w:t>
      </w:r>
      <w:r w:rsidR="00061036">
        <w:rPr>
          <w:rFonts w:asciiTheme="minorHAnsi" w:hAnsiTheme="minorHAnsi" w:cs="Arial"/>
          <w:sz w:val="24"/>
          <w:szCs w:val="24"/>
        </w:rPr>
        <w:t xml:space="preserve">and </w:t>
      </w:r>
      <w:r w:rsidR="00EC5D43">
        <w:rPr>
          <w:rFonts w:asciiTheme="minorHAnsi" w:hAnsiTheme="minorHAnsi" w:cs="Arial"/>
          <w:sz w:val="24"/>
          <w:szCs w:val="24"/>
        </w:rPr>
        <w:t xml:space="preserve">the </w:t>
      </w:r>
      <w:r w:rsidR="00661238">
        <w:rPr>
          <w:rFonts w:asciiTheme="minorHAnsi" w:hAnsiTheme="minorHAnsi" w:cs="Arial"/>
          <w:sz w:val="24"/>
          <w:szCs w:val="24"/>
        </w:rPr>
        <w:t xml:space="preserve">level and nature of the </w:t>
      </w:r>
      <w:r w:rsidR="00EC5D43">
        <w:rPr>
          <w:rFonts w:asciiTheme="minorHAnsi" w:hAnsiTheme="minorHAnsi" w:cs="Arial"/>
          <w:sz w:val="24"/>
          <w:szCs w:val="24"/>
        </w:rPr>
        <w:t xml:space="preserve">Health Grant fund </w:t>
      </w:r>
      <w:r w:rsidR="00061036">
        <w:rPr>
          <w:rFonts w:asciiTheme="minorHAnsi" w:hAnsiTheme="minorHAnsi" w:cs="Arial"/>
          <w:sz w:val="24"/>
          <w:szCs w:val="24"/>
        </w:rPr>
        <w:t xml:space="preserve">expenditure such that </w:t>
      </w:r>
      <w:r w:rsidRPr="002B2821">
        <w:rPr>
          <w:rFonts w:asciiTheme="minorHAnsi" w:hAnsiTheme="minorHAnsi" w:cs="Arial"/>
          <w:sz w:val="24"/>
          <w:szCs w:val="24"/>
        </w:rPr>
        <w:t xml:space="preserve">there </w:t>
      </w:r>
      <w:r w:rsidR="00061036">
        <w:rPr>
          <w:rFonts w:asciiTheme="minorHAnsi" w:hAnsiTheme="minorHAnsi" w:cs="Arial"/>
          <w:sz w:val="24"/>
          <w:szCs w:val="24"/>
        </w:rPr>
        <w:t xml:space="preserve">are no long term </w:t>
      </w:r>
      <w:r w:rsidRPr="002B2821">
        <w:rPr>
          <w:rFonts w:asciiTheme="minorHAnsi" w:hAnsiTheme="minorHAnsi" w:cs="Arial"/>
          <w:sz w:val="24"/>
          <w:szCs w:val="24"/>
        </w:rPr>
        <w:t xml:space="preserve">deficits, or surpluses, </w:t>
      </w:r>
      <w:r w:rsidR="00BC6BFE">
        <w:rPr>
          <w:rFonts w:asciiTheme="minorHAnsi" w:hAnsiTheme="minorHAnsi" w:cs="Arial"/>
          <w:sz w:val="24"/>
          <w:szCs w:val="24"/>
        </w:rPr>
        <w:t>o</w:t>
      </w:r>
      <w:r w:rsidR="00061036">
        <w:rPr>
          <w:rFonts w:asciiTheme="minorHAnsi" w:hAnsiTheme="minorHAnsi" w:cs="Arial"/>
          <w:sz w:val="24"/>
          <w:szCs w:val="24"/>
        </w:rPr>
        <w:t>n</w:t>
      </w:r>
      <w:r w:rsidRPr="002B2821">
        <w:rPr>
          <w:rFonts w:asciiTheme="minorHAnsi" w:hAnsiTheme="minorHAnsi" w:cs="Arial"/>
          <w:sz w:val="24"/>
          <w:szCs w:val="24"/>
        </w:rPr>
        <w:t xml:space="preserve"> the restricted </w:t>
      </w:r>
      <w:r w:rsidR="00061036" w:rsidRPr="002B2821">
        <w:rPr>
          <w:rFonts w:asciiTheme="minorHAnsi" w:hAnsiTheme="minorHAnsi" w:cs="Arial"/>
          <w:sz w:val="24"/>
          <w:szCs w:val="24"/>
        </w:rPr>
        <w:t xml:space="preserve">Health Grant </w:t>
      </w:r>
      <w:r w:rsidRPr="002B2821">
        <w:rPr>
          <w:rFonts w:asciiTheme="minorHAnsi" w:hAnsiTheme="minorHAnsi" w:cs="Arial"/>
          <w:sz w:val="24"/>
          <w:szCs w:val="24"/>
        </w:rPr>
        <w:t>funds</w:t>
      </w:r>
      <w:r w:rsidR="00061036">
        <w:rPr>
          <w:rFonts w:asciiTheme="minorHAnsi" w:hAnsiTheme="minorHAnsi" w:cs="Arial"/>
          <w:sz w:val="24"/>
          <w:szCs w:val="24"/>
        </w:rPr>
        <w:t>.</w:t>
      </w:r>
    </w:p>
    <w:tbl>
      <w:tblPr>
        <w:tblW w:w="9911" w:type="dxa"/>
        <w:tblInd w:w="-284" w:type="dxa"/>
        <w:tblLook w:val="04A0" w:firstRow="1" w:lastRow="0" w:firstColumn="1" w:lastColumn="0" w:noHBand="0" w:noVBand="1"/>
      </w:tblPr>
      <w:tblGrid>
        <w:gridCol w:w="3515"/>
        <w:gridCol w:w="1572"/>
        <w:gridCol w:w="1078"/>
        <w:gridCol w:w="877"/>
        <w:gridCol w:w="1263"/>
        <w:gridCol w:w="271"/>
        <w:gridCol w:w="1335"/>
      </w:tblGrid>
      <w:tr w:rsidR="00EB51E9" w:rsidRPr="002B2821" w14:paraId="513C9B1F" w14:textId="77777777" w:rsidTr="003F461B">
        <w:trPr>
          <w:trHeight w:val="271"/>
        </w:trPr>
        <w:tc>
          <w:tcPr>
            <w:tcW w:w="3515" w:type="dxa"/>
            <w:tcBorders>
              <w:top w:val="nil"/>
              <w:left w:val="nil"/>
              <w:bottom w:val="nil"/>
              <w:right w:val="nil"/>
            </w:tcBorders>
            <w:shd w:val="clear" w:color="auto" w:fill="auto"/>
            <w:noWrap/>
            <w:vAlign w:val="bottom"/>
            <w:hideMark/>
          </w:tcPr>
          <w:p w14:paraId="2A880518" w14:textId="77777777" w:rsidR="00EB51E9" w:rsidRPr="002B2821" w:rsidRDefault="00EB51E9" w:rsidP="00EB51E9">
            <w:pPr>
              <w:spacing w:after="0" w:line="240" w:lineRule="auto"/>
              <w:rPr>
                <w:rFonts w:ascii="Calibri" w:hAnsi="Calibri" w:cs="Arial"/>
                <w:b/>
                <w:bCs/>
                <w:color w:val="333399"/>
                <w:sz w:val="24"/>
                <w:szCs w:val="24"/>
                <w:lang w:eastAsia="en-GB"/>
              </w:rPr>
            </w:pPr>
            <w:r w:rsidRPr="002B2821">
              <w:rPr>
                <w:rFonts w:ascii="Calibri" w:hAnsi="Calibri" w:cs="Arial"/>
                <w:b/>
                <w:bCs/>
                <w:color w:val="333399"/>
                <w:sz w:val="24"/>
                <w:szCs w:val="24"/>
                <w:lang w:eastAsia="en-GB"/>
              </w:rPr>
              <w:t>Health Grants by Country</w:t>
            </w:r>
          </w:p>
        </w:tc>
        <w:tc>
          <w:tcPr>
            <w:tcW w:w="1572" w:type="dxa"/>
            <w:tcBorders>
              <w:top w:val="nil"/>
              <w:left w:val="nil"/>
              <w:bottom w:val="nil"/>
              <w:right w:val="nil"/>
            </w:tcBorders>
            <w:shd w:val="clear" w:color="auto" w:fill="auto"/>
            <w:noWrap/>
            <w:vAlign w:val="bottom"/>
            <w:hideMark/>
          </w:tcPr>
          <w:p w14:paraId="3F382968" w14:textId="77777777" w:rsidR="00EB51E9" w:rsidRPr="002B2821" w:rsidRDefault="00EB51E9" w:rsidP="00EB51E9">
            <w:pPr>
              <w:spacing w:after="0" w:line="240" w:lineRule="auto"/>
              <w:rPr>
                <w:rFonts w:ascii="Calibri" w:hAnsi="Calibri" w:cs="Arial"/>
                <w:b/>
                <w:bCs/>
                <w:color w:val="333399"/>
                <w:sz w:val="24"/>
                <w:szCs w:val="24"/>
                <w:lang w:eastAsia="en-GB"/>
              </w:rPr>
            </w:pPr>
          </w:p>
        </w:tc>
        <w:tc>
          <w:tcPr>
            <w:tcW w:w="1078" w:type="dxa"/>
            <w:tcBorders>
              <w:top w:val="nil"/>
              <w:left w:val="nil"/>
              <w:bottom w:val="nil"/>
              <w:right w:val="nil"/>
            </w:tcBorders>
            <w:shd w:val="clear" w:color="auto" w:fill="auto"/>
            <w:noWrap/>
            <w:vAlign w:val="bottom"/>
            <w:hideMark/>
          </w:tcPr>
          <w:p w14:paraId="689963C1"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5F94CF4F"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6AE1EEA0"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788C63A9"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3CD84E32" w14:textId="77777777" w:rsidR="00EB51E9" w:rsidRPr="002B2821" w:rsidRDefault="00EB51E9" w:rsidP="00EB51E9">
            <w:pPr>
              <w:spacing w:after="0" w:line="240" w:lineRule="auto"/>
              <w:rPr>
                <w:lang w:eastAsia="en-GB"/>
              </w:rPr>
            </w:pPr>
          </w:p>
        </w:tc>
      </w:tr>
      <w:tr w:rsidR="00EB51E9" w:rsidRPr="002B2821" w14:paraId="59EBD600" w14:textId="77777777" w:rsidTr="003F461B">
        <w:trPr>
          <w:trHeight w:val="271"/>
        </w:trPr>
        <w:tc>
          <w:tcPr>
            <w:tcW w:w="3515" w:type="dxa"/>
            <w:tcBorders>
              <w:top w:val="nil"/>
              <w:left w:val="nil"/>
              <w:bottom w:val="nil"/>
              <w:right w:val="nil"/>
            </w:tcBorders>
            <w:shd w:val="clear" w:color="auto" w:fill="auto"/>
            <w:noWrap/>
            <w:vAlign w:val="bottom"/>
            <w:hideMark/>
          </w:tcPr>
          <w:p w14:paraId="1D17CEA1" w14:textId="77777777" w:rsidR="00EB51E9" w:rsidRPr="002B2821" w:rsidRDefault="00EB51E9" w:rsidP="00EB51E9">
            <w:pPr>
              <w:spacing w:after="0" w:line="240" w:lineRule="auto"/>
              <w:rPr>
                <w:lang w:eastAsia="en-GB"/>
              </w:rPr>
            </w:pPr>
          </w:p>
        </w:tc>
        <w:tc>
          <w:tcPr>
            <w:tcW w:w="1572" w:type="dxa"/>
            <w:tcBorders>
              <w:top w:val="nil"/>
              <w:left w:val="nil"/>
              <w:bottom w:val="nil"/>
              <w:right w:val="nil"/>
            </w:tcBorders>
            <w:shd w:val="clear" w:color="auto" w:fill="auto"/>
            <w:noWrap/>
            <w:vAlign w:val="bottom"/>
            <w:hideMark/>
          </w:tcPr>
          <w:p w14:paraId="355EAC36"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England</w:t>
            </w:r>
          </w:p>
        </w:tc>
        <w:tc>
          <w:tcPr>
            <w:tcW w:w="1078" w:type="dxa"/>
            <w:tcBorders>
              <w:top w:val="nil"/>
              <w:left w:val="nil"/>
              <w:bottom w:val="nil"/>
              <w:right w:val="nil"/>
            </w:tcBorders>
            <w:shd w:val="clear" w:color="auto" w:fill="auto"/>
            <w:noWrap/>
            <w:vAlign w:val="bottom"/>
            <w:hideMark/>
          </w:tcPr>
          <w:p w14:paraId="0C017687"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Scotland</w:t>
            </w:r>
          </w:p>
        </w:tc>
        <w:tc>
          <w:tcPr>
            <w:tcW w:w="877" w:type="dxa"/>
            <w:tcBorders>
              <w:top w:val="nil"/>
              <w:left w:val="nil"/>
              <w:bottom w:val="nil"/>
              <w:right w:val="nil"/>
            </w:tcBorders>
            <w:shd w:val="clear" w:color="auto" w:fill="auto"/>
            <w:noWrap/>
            <w:vAlign w:val="bottom"/>
            <w:hideMark/>
          </w:tcPr>
          <w:p w14:paraId="2F2CC387"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Wales</w:t>
            </w:r>
          </w:p>
        </w:tc>
        <w:tc>
          <w:tcPr>
            <w:tcW w:w="1263" w:type="dxa"/>
            <w:tcBorders>
              <w:top w:val="nil"/>
              <w:left w:val="nil"/>
              <w:bottom w:val="nil"/>
              <w:right w:val="nil"/>
            </w:tcBorders>
            <w:shd w:val="clear" w:color="auto" w:fill="auto"/>
            <w:noWrap/>
            <w:vAlign w:val="bottom"/>
            <w:hideMark/>
          </w:tcPr>
          <w:p w14:paraId="6355EB81"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N. Ireland</w:t>
            </w:r>
          </w:p>
        </w:tc>
        <w:tc>
          <w:tcPr>
            <w:tcW w:w="271" w:type="dxa"/>
            <w:tcBorders>
              <w:top w:val="nil"/>
              <w:left w:val="nil"/>
              <w:bottom w:val="nil"/>
              <w:right w:val="nil"/>
            </w:tcBorders>
            <w:shd w:val="clear" w:color="auto" w:fill="auto"/>
            <w:noWrap/>
            <w:vAlign w:val="bottom"/>
            <w:hideMark/>
          </w:tcPr>
          <w:p w14:paraId="7238AF6B" w14:textId="77777777" w:rsidR="00EB51E9" w:rsidRPr="002B2821" w:rsidRDefault="00EB51E9" w:rsidP="00EB51E9">
            <w:pPr>
              <w:spacing w:after="0" w:line="240" w:lineRule="auto"/>
              <w:jc w:val="center"/>
              <w:rPr>
                <w:rFonts w:ascii="Calibri" w:hAnsi="Calibri" w:cs="Arial"/>
                <w:b/>
                <w:bCs/>
                <w:color w:val="333399"/>
                <w:sz w:val="24"/>
                <w:szCs w:val="24"/>
                <w:lang w:eastAsia="en-GB"/>
              </w:rPr>
            </w:pPr>
          </w:p>
        </w:tc>
        <w:tc>
          <w:tcPr>
            <w:tcW w:w="1335" w:type="dxa"/>
            <w:tcBorders>
              <w:top w:val="nil"/>
              <w:left w:val="nil"/>
              <w:bottom w:val="nil"/>
              <w:right w:val="nil"/>
            </w:tcBorders>
            <w:shd w:val="clear" w:color="auto" w:fill="auto"/>
            <w:noWrap/>
            <w:vAlign w:val="bottom"/>
            <w:hideMark/>
          </w:tcPr>
          <w:p w14:paraId="03AE89DF"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w:t>
            </w:r>
          </w:p>
        </w:tc>
      </w:tr>
      <w:tr w:rsidR="00EB51E9" w:rsidRPr="002B2821" w14:paraId="1EC60AA2" w14:textId="77777777" w:rsidTr="003F461B">
        <w:trPr>
          <w:trHeight w:val="271"/>
        </w:trPr>
        <w:tc>
          <w:tcPr>
            <w:tcW w:w="3515" w:type="dxa"/>
            <w:tcBorders>
              <w:top w:val="nil"/>
              <w:left w:val="nil"/>
              <w:bottom w:val="nil"/>
              <w:right w:val="nil"/>
            </w:tcBorders>
            <w:shd w:val="clear" w:color="auto" w:fill="auto"/>
            <w:noWrap/>
            <w:vAlign w:val="bottom"/>
            <w:hideMark/>
          </w:tcPr>
          <w:p w14:paraId="477D9B5C" w14:textId="77777777" w:rsidR="00EB51E9" w:rsidRPr="002B2821" w:rsidRDefault="00EB51E9" w:rsidP="00EB51E9">
            <w:pPr>
              <w:spacing w:after="0" w:line="240" w:lineRule="auto"/>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1572" w:type="dxa"/>
            <w:tcBorders>
              <w:top w:val="nil"/>
              <w:left w:val="nil"/>
              <w:bottom w:val="nil"/>
              <w:right w:val="nil"/>
            </w:tcBorders>
            <w:shd w:val="clear" w:color="auto" w:fill="auto"/>
            <w:noWrap/>
            <w:vAlign w:val="bottom"/>
            <w:hideMark/>
          </w:tcPr>
          <w:p w14:paraId="38BDFEB3" w14:textId="77777777" w:rsidR="00EB51E9" w:rsidRPr="002B2821" w:rsidRDefault="00EB51E9" w:rsidP="00EB51E9">
            <w:pPr>
              <w:spacing w:after="0" w:line="240" w:lineRule="auto"/>
              <w:rPr>
                <w:rFonts w:ascii="Calibri" w:hAnsi="Calibri" w:cs="Arial"/>
                <w:b/>
                <w:bCs/>
                <w:color w:val="333399"/>
                <w:sz w:val="24"/>
                <w:szCs w:val="24"/>
                <w:lang w:eastAsia="en-GB"/>
              </w:rPr>
            </w:pPr>
          </w:p>
        </w:tc>
        <w:tc>
          <w:tcPr>
            <w:tcW w:w="1078" w:type="dxa"/>
            <w:tcBorders>
              <w:top w:val="nil"/>
              <w:left w:val="nil"/>
              <w:bottom w:val="nil"/>
              <w:right w:val="nil"/>
            </w:tcBorders>
            <w:shd w:val="clear" w:color="auto" w:fill="auto"/>
            <w:noWrap/>
            <w:vAlign w:val="bottom"/>
            <w:hideMark/>
          </w:tcPr>
          <w:p w14:paraId="6BE0F08B"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2F78E455"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4BDC50A4"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5E0E9385"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703E3D64" w14:textId="77777777" w:rsidR="00EB51E9" w:rsidRPr="002B2821" w:rsidRDefault="00EB51E9" w:rsidP="00EB51E9">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r>
      <w:tr w:rsidR="00EB51E9" w:rsidRPr="002B2821" w14:paraId="5254DD9C" w14:textId="77777777" w:rsidTr="003F461B">
        <w:trPr>
          <w:trHeight w:val="174"/>
        </w:trPr>
        <w:tc>
          <w:tcPr>
            <w:tcW w:w="3515" w:type="dxa"/>
            <w:tcBorders>
              <w:top w:val="nil"/>
              <w:left w:val="nil"/>
              <w:bottom w:val="nil"/>
              <w:right w:val="nil"/>
            </w:tcBorders>
            <w:shd w:val="clear" w:color="auto" w:fill="auto"/>
            <w:noWrap/>
            <w:vAlign w:val="bottom"/>
            <w:hideMark/>
          </w:tcPr>
          <w:p w14:paraId="2E92B282" w14:textId="77777777" w:rsidR="00EB51E9" w:rsidRPr="002B2821" w:rsidRDefault="00EB51E9" w:rsidP="00EB51E9">
            <w:pPr>
              <w:spacing w:after="0" w:line="240" w:lineRule="auto"/>
              <w:jc w:val="center"/>
              <w:rPr>
                <w:rFonts w:ascii="Calibri" w:hAnsi="Calibri" w:cs="Arial"/>
                <w:b/>
                <w:bCs/>
                <w:color w:val="333399"/>
                <w:sz w:val="24"/>
                <w:szCs w:val="24"/>
                <w:lang w:eastAsia="en-GB"/>
              </w:rPr>
            </w:pPr>
          </w:p>
        </w:tc>
        <w:tc>
          <w:tcPr>
            <w:tcW w:w="1572" w:type="dxa"/>
            <w:tcBorders>
              <w:top w:val="nil"/>
              <w:left w:val="nil"/>
              <w:bottom w:val="nil"/>
              <w:right w:val="nil"/>
            </w:tcBorders>
            <w:shd w:val="clear" w:color="auto" w:fill="auto"/>
            <w:noWrap/>
            <w:vAlign w:val="bottom"/>
            <w:hideMark/>
          </w:tcPr>
          <w:p w14:paraId="4CD6EDE8"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6C71BE76"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62A4A542"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6164C07F"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7139BB13"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4ECABA2B" w14:textId="77777777" w:rsidR="00EB51E9" w:rsidRPr="002B2821" w:rsidRDefault="00EB51E9" w:rsidP="00EB51E9">
            <w:pPr>
              <w:spacing w:after="0" w:line="240" w:lineRule="auto"/>
              <w:rPr>
                <w:lang w:eastAsia="en-GB"/>
              </w:rPr>
            </w:pPr>
          </w:p>
        </w:tc>
      </w:tr>
      <w:tr w:rsidR="00EB51E9" w:rsidRPr="002B2821" w14:paraId="4908471A" w14:textId="77777777" w:rsidTr="003F461B">
        <w:trPr>
          <w:trHeight w:val="271"/>
        </w:trPr>
        <w:tc>
          <w:tcPr>
            <w:tcW w:w="3515" w:type="dxa"/>
            <w:tcBorders>
              <w:top w:val="nil"/>
              <w:left w:val="nil"/>
              <w:bottom w:val="nil"/>
              <w:right w:val="nil"/>
            </w:tcBorders>
            <w:shd w:val="clear" w:color="auto" w:fill="auto"/>
            <w:noWrap/>
            <w:vAlign w:val="bottom"/>
            <w:hideMark/>
          </w:tcPr>
          <w:p w14:paraId="0EF33356" w14:textId="77777777" w:rsidR="004D42FA"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Fund balances as at </w:t>
            </w:r>
          </w:p>
          <w:p w14:paraId="1CC68948" w14:textId="23051F98"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1 October 2017</w:t>
            </w:r>
          </w:p>
        </w:tc>
        <w:tc>
          <w:tcPr>
            <w:tcW w:w="1572" w:type="dxa"/>
            <w:tcBorders>
              <w:top w:val="nil"/>
              <w:left w:val="nil"/>
              <w:bottom w:val="nil"/>
              <w:right w:val="nil"/>
            </w:tcBorders>
            <w:shd w:val="clear" w:color="auto" w:fill="auto"/>
            <w:noWrap/>
            <w:vAlign w:val="bottom"/>
            <w:hideMark/>
          </w:tcPr>
          <w:p w14:paraId="078D604F"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(339)</w:t>
            </w:r>
          </w:p>
        </w:tc>
        <w:tc>
          <w:tcPr>
            <w:tcW w:w="1078" w:type="dxa"/>
            <w:tcBorders>
              <w:top w:val="nil"/>
              <w:left w:val="nil"/>
              <w:bottom w:val="nil"/>
              <w:right w:val="nil"/>
            </w:tcBorders>
            <w:shd w:val="clear" w:color="auto" w:fill="auto"/>
            <w:noWrap/>
            <w:vAlign w:val="bottom"/>
            <w:hideMark/>
          </w:tcPr>
          <w:p w14:paraId="55B45F4F"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75 </w:t>
            </w:r>
          </w:p>
        </w:tc>
        <w:tc>
          <w:tcPr>
            <w:tcW w:w="877" w:type="dxa"/>
            <w:tcBorders>
              <w:top w:val="nil"/>
              <w:left w:val="nil"/>
              <w:bottom w:val="nil"/>
              <w:right w:val="nil"/>
            </w:tcBorders>
            <w:shd w:val="clear" w:color="auto" w:fill="auto"/>
            <w:noWrap/>
            <w:vAlign w:val="bottom"/>
            <w:hideMark/>
          </w:tcPr>
          <w:p w14:paraId="03B944C7"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(203)</w:t>
            </w:r>
          </w:p>
        </w:tc>
        <w:tc>
          <w:tcPr>
            <w:tcW w:w="1263" w:type="dxa"/>
            <w:tcBorders>
              <w:top w:val="nil"/>
              <w:left w:val="nil"/>
              <w:bottom w:val="nil"/>
              <w:right w:val="nil"/>
            </w:tcBorders>
            <w:shd w:val="clear" w:color="auto" w:fill="auto"/>
            <w:noWrap/>
            <w:vAlign w:val="bottom"/>
            <w:hideMark/>
          </w:tcPr>
          <w:p w14:paraId="7590290F"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(118)</w:t>
            </w:r>
          </w:p>
        </w:tc>
        <w:tc>
          <w:tcPr>
            <w:tcW w:w="271" w:type="dxa"/>
            <w:tcBorders>
              <w:top w:val="nil"/>
              <w:left w:val="nil"/>
              <w:bottom w:val="nil"/>
              <w:right w:val="nil"/>
            </w:tcBorders>
            <w:shd w:val="clear" w:color="auto" w:fill="auto"/>
            <w:noWrap/>
            <w:vAlign w:val="bottom"/>
            <w:hideMark/>
          </w:tcPr>
          <w:p w14:paraId="36840914"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025D1C03"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(585)</w:t>
            </w:r>
          </w:p>
        </w:tc>
      </w:tr>
      <w:tr w:rsidR="00EB51E9" w:rsidRPr="002B2821" w14:paraId="2FB721F8" w14:textId="77777777" w:rsidTr="003F461B">
        <w:trPr>
          <w:trHeight w:val="143"/>
        </w:trPr>
        <w:tc>
          <w:tcPr>
            <w:tcW w:w="3515" w:type="dxa"/>
            <w:tcBorders>
              <w:top w:val="nil"/>
              <w:left w:val="nil"/>
              <w:bottom w:val="nil"/>
              <w:right w:val="nil"/>
            </w:tcBorders>
            <w:shd w:val="clear" w:color="auto" w:fill="auto"/>
            <w:noWrap/>
            <w:vAlign w:val="bottom"/>
            <w:hideMark/>
          </w:tcPr>
          <w:p w14:paraId="5D9C8A23"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572" w:type="dxa"/>
            <w:tcBorders>
              <w:top w:val="nil"/>
              <w:left w:val="nil"/>
              <w:bottom w:val="nil"/>
              <w:right w:val="nil"/>
            </w:tcBorders>
            <w:shd w:val="clear" w:color="auto" w:fill="auto"/>
            <w:noWrap/>
            <w:vAlign w:val="bottom"/>
            <w:hideMark/>
          </w:tcPr>
          <w:p w14:paraId="596C3B74"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2831A9B5"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1448530F"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35A712CF"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6589570E"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60DD9557" w14:textId="77777777" w:rsidR="00EB51E9" w:rsidRPr="002B2821" w:rsidRDefault="00EB51E9" w:rsidP="00EB51E9">
            <w:pPr>
              <w:spacing w:after="0" w:line="240" w:lineRule="auto"/>
              <w:rPr>
                <w:lang w:eastAsia="en-GB"/>
              </w:rPr>
            </w:pPr>
          </w:p>
        </w:tc>
      </w:tr>
      <w:tr w:rsidR="00EB51E9" w:rsidRPr="002B2821" w14:paraId="34806C77" w14:textId="77777777" w:rsidTr="003F461B">
        <w:trPr>
          <w:trHeight w:val="271"/>
        </w:trPr>
        <w:tc>
          <w:tcPr>
            <w:tcW w:w="3515" w:type="dxa"/>
            <w:tcBorders>
              <w:top w:val="nil"/>
              <w:left w:val="nil"/>
              <w:bottom w:val="nil"/>
              <w:right w:val="nil"/>
            </w:tcBorders>
            <w:shd w:val="clear" w:color="auto" w:fill="auto"/>
            <w:noWrap/>
            <w:vAlign w:val="bottom"/>
            <w:hideMark/>
          </w:tcPr>
          <w:p w14:paraId="1F9EE822" w14:textId="77777777"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Incoming Health Grants</w:t>
            </w:r>
          </w:p>
        </w:tc>
        <w:tc>
          <w:tcPr>
            <w:tcW w:w="1572" w:type="dxa"/>
            <w:tcBorders>
              <w:top w:val="nil"/>
              <w:left w:val="nil"/>
              <w:bottom w:val="nil"/>
              <w:right w:val="nil"/>
            </w:tcBorders>
            <w:shd w:val="clear" w:color="auto" w:fill="auto"/>
            <w:noWrap/>
            <w:vAlign w:val="bottom"/>
            <w:hideMark/>
          </w:tcPr>
          <w:p w14:paraId="2E3C2D4E"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8,367 </w:t>
            </w:r>
          </w:p>
        </w:tc>
        <w:tc>
          <w:tcPr>
            <w:tcW w:w="1078" w:type="dxa"/>
            <w:tcBorders>
              <w:top w:val="nil"/>
              <w:left w:val="nil"/>
              <w:bottom w:val="nil"/>
              <w:right w:val="nil"/>
            </w:tcBorders>
            <w:shd w:val="clear" w:color="auto" w:fill="auto"/>
            <w:noWrap/>
            <w:vAlign w:val="bottom"/>
            <w:hideMark/>
          </w:tcPr>
          <w:p w14:paraId="55A2D1B7"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1,258 </w:t>
            </w:r>
          </w:p>
        </w:tc>
        <w:tc>
          <w:tcPr>
            <w:tcW w:w="877" w:type="dxa"/>
            <w:tcBorders>
              <w:top w:val="nil"/>
              <w:left w:val="nil"/>
              <w:bottom w:val="nil"/>
              <w:right w:val="nil"/>
            </w:tcBorders>
            <w:shd w:val="clear" w:color="auto" w:fill="auto"/>
            <w:noWrap/>
            <w:vAlign w:val="bottom"/>
            <w:hideMark/>
          </w:tcPr>
          <w:p w14:paraId="62544527"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830 </w:t>
            </w:r>
          </w:p>
        </w:tc>
        <w:tc>
          <w:tcPr>
            <w:tcW w:w="1263" w:type="dxa"/>
            <w:tcBorders>
              <w:top w:val="nil"/>
              <w:left w:val="nil"/>
              <w:bottom w:val="nil"/>
              <w:right w:val="nil"/>
            </w:tcBorders>
            <w:shd w:val="clear" w:color="auto" w:fill="auto"/>
            <w:noWrap/>
            <w:vAlign w:val="bottom"/>
            <w:hideMark/>
          </w:tcPr>
          <w:p w14:paraId="55EDC3AE"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491 </w:t>
            </w:r>
          </w:p>
        </w:tc>
        <w:tc>
          <w:tcPr>
            <w:tcW w:w="271" w:type="dxa"/>
            <w:tcBorders>
              <w:top w:val="nil"/>
              <w:left w:val="nil"/>
              <w:bottom w:val="nil"/>
              <w:right w:val="nil"/>
            </w:tcBorders>
            <w:shd w:val="clear" w:color="auto" w:fill="auto"/>
            <w:noWrap/>
            <w:vAlign w:val="bottom"/>
            <w:hideMark/>
          </w:tcPr>
          <w:p w14:paraId="1D78D43D" w14:textId="77777777" w:rsidR="00EB51E9" w:rsidRPr="002B2821" w:rsidRDefault="00EB51E9" w:rsidP="00EB51E9">
            <w:pPr>
              <w:spacing w:after="0" w:line="240" w:lineRule="auto"/>
              <w:jc w:val="right"/>
              <w:rPr>
                <w:rFonts w:ascii="Calibri" w:hAnsi="Calibri" w:cs="Arial"/>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3F72DC76"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10,946 </w:t>
            </w:r>
          </w:p>
        </w:tc>
      </w:tr>
      <w:tr w:rsidR="00EB51E9" w:rsidRPr="002B2821" w14:paraId="5E9B74B2" w14:textId="77777777" w:rsidTr="003F461B">
        <w:trPr>
          <w:trHeight w:val="119"/>
        </w:trPr>
        <w:tc>
          <w:tcPr>
            <w:tcW w:w="3515" w:type="dxa"/>
            <w:tcBorders>
              <w:top w:val="nil"/>
              <w:left w:val="nil"/>
              <w:bottom w:val="nil"/>
              <w:right w:val="nil"/>
            </w:tcBorders>
            <w:shd w:val="clear" w:color="auto" w:fill="auto"/>
            <w:noWrap/>
            <w:vAlign w:val="bottom"/>
            <w:hideMark/>
          </w:tcPr>
          <w:p w14:paraId="3DCDE3A7"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572" w:type="dxa"/>
            <w:tcBorders>
              <w:top w:val="nil"/>
              <w:left w:val="nil"/>
              <w:bottom w:val="nil"/>
              <w:right w:val="nil"/>
            </w:tcBorders>
            <w:shd w:val="clear" w:color="auto" w:fill="auto"/>
            <w:noWrap/>
            <w:vAlign w:val="bottom"/>
            <w:hideMark/>
          </w:tcPr>
          <w:p w14:paraId="1EA35004"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7A4174D4"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3C2BDEE1"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7A122CEF"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2652CCCE"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5187B79A" w14:textId="77777777" w:rsidR="00EB51E9" w:rsidRPr="002B2821" w:rsidRDefault="00EB51E9" w:rsidP="00EB51E9">
            <w:pPr>
              <w:spacing w:after="0" w:line="240" w:lineRule="auto"/>
              <w:rPr>
                <w:lang w:eastAsia="en-GB"/>
              </w:rPr>
            </w:pPr>
          </w:p>
        </w:tc>
      </w:tr>
      <w:tr w:rsidR="00EB51E9" w:rsidRPr="002B2821" w14:paraId="7EB22442" w14:textId="77777777" w:rsidTr="003F461B">
        <w:trPr>
          <w:trHeight w:val="271"/>
        </w:trPr>
        <w:tc>
          <w:tcPr>
            <w:tcW w:w="3515" w:type="dxa"/>
            <w:tcBorders>
              <w:top w:val="nil"/>
              <w:left w:val="nil"/>
              <w:bottom w:val="nil"/>
              <w:right w:val="nil"/>
            </w:tcBorders>
            <w:shd w:val="clear" w:color="auto" w:fill="auto"/>
            <w:noWrap/>
            <w:vAlign w:val="bottom"/>
            <w:hideMark/>
          </w:tcPr>
          <w:p w14:paraId="0CD8C422" w14:textId="77777777"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Health Grants</w:t>
            </w:r>
          </w:p>
        </w:tc>
        <w:tc>
          <w:tcPr>
            <w:tcW w:w="1572" w:type="dxa"/>
            <w:tcBorders>
              <w:top w:val="nil"/>
              <w:left w:val="nil"/>
              <w:bottom w:val="nil"/>
              <w:right w:val="nil"/>
            </w:tcBorders>
            <w:shd w:val="clear" w:color="auto" w:fill="auto"/>
            <w:noWrap/>
            <w:vAlign w:val="bottom"/>
            <w:hideMark/>
          </w:tcPr>
          <w:p w14:paraId="72E8FC4E"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(7,919)</w:t>
            </w:r>
          </w:p>
        </w:tc>
        <w:tc>
          <w:tcPr>
            <w:tcW w:w="1078" w:type="dxa"/>
            <w:tcBorders>
              <w:top w:val="nil"/>
              <w:left w:val="nil"/>
              <w:bottom w:val="nil"/>
              <w:right w:val="nil"/>
            </w:tcBorders>
            <w:shd w:val="clear" w:color="auto" w:fill="auto"/>
            <w:noWrap/>
            <w:vAlign w:val="bottom"/>
            <w:hideMark/>
          </w:tcPr>
          <w:p w14:paraId="6F241FC3"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(1,185)</w:t>
            </w:r>
          </w:p>
        </w:tc>
        <w:tc>
          <w:tcPr>
            <w:tcW w:w="877" w:type="dxa"/>
            <w:tcBorders>
              <w:top w:val="nil"/>
              <w:left w:val="nil"/>
              <w:bottom w:val="nil"/>
              <w:right w:val="nil"/>
            </w:tcBorders>
            <w:shd w:val="clear" w:color="auto" w:fill="auto"/>
            <w:noWrap/>
            <w:vAlign w:val="bottom"/>
            <w:hideMark/>
          </w:tcPr>
          <w:p w14:paraId="57E37D8A"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(855)</w:t>
            </w:r>
          </w:p>
        </w:tc>
        <w:tc>
          <w:tcPr>
            <w:tcW w:w="1263" w:type="dxa"/>
            <w:tcBorders>
              <w:top w:val="nil"/>
              <w:left w:val="nil"/>
              <w:bottom w:val="nil"/>
              <w:right w:val="nil"/>
            </w:tcBorders>
            <w:shd w:val="clear" w:color="auto" w:fill="auto"/>
            <w:noWrap/>
            <w:vAlign w:val="bottom"/>
            <w:hideMark/>
          </w:tcPr>
          <w:p w14:paraId="4D540128"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(512)</w:t>
            </w:r>
          </w:p>
        </w:tc>
        <w:tc>
          <w:tcPr>
            <w:tcW w:w="271" w:type="dxa"/>
            <w:tcBorders>
              <w:top w:val="nil"/>
              <w:left w:val="nil"/>
              <w:bottom w:val="nil"/>
              <w:right w:val="nil"/>
            </w:tcBorders>
            <w:shd w:val="clear" w:color="auto" w:fill="auto"/>
            <w:noWrap/>
            <w:vAlign w:val="bottom"/>
            <w:hideMark/>
          </w:tcPr>
          <w:p w14:paraId="2ABD3632" w14:textId="77777777" w:rsidR="00EB51E9" w:rsidRPr="002B2821" w:rsidRDefault="00EB51E9" w:rsidP="00EB51E9">
            <w:pPr>
              <w:spacing w:after="0" w:line="240" w:lineRule="auto"/>
              <w:jc w:val="right"/>
              <w:rPr>
                <w:rFonts w:ascii="Calibri" w:hAnsi="Calibri" w:cs="Arial"/>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37D4EDC3"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(10,471)</w:t>
            </w:r>
          </w:p>
        </w:tc>
      </w:tr>
      <w:tr w:rsidR="00EB51E9" w:rsidRPr="002B2821" w14:paraId="4198EF06" w14:textId="77777777" w:rsidTr="003F461B">
        <w:trPr>
          <w:trHeight w:val="65"/>
        </w:trPr>
        <w:tc>
          <w:tcPr>
            <w:tcW w:w="3515" w:type="dxa"/>
            <w:tcBorders>
              <w:top w:val="nil"/>
              <w:left w:val="nil"/>
              <w:bottom w:val="nil"/>
              <w:right w:val="nil"/>
            </w:tcBorders>
            <w:shd w:val="clear" w:color="auto" w:fill="auto"/>
            <w:noWrap/>
            <w:vAlign w:val="bottom"/>
            <w:hideMark/>
          </w:tcPr>
          <w:p w14:paraId="1325F0B0"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572" w:type="dxa"/>
            <w:tcBorders>
              <w:top w:val="nil"/>
              <w:left w:val="nil"/>
              <w:bottom w:val="nil"/>
              <w:right w:val="nil"/>
            </w:tcBorders>
            <w:shd w:val="clear" w:color="auto" w:fill="auto"/>
            <w:noWrap/>
            <w:vAlign w:val="bottom"/>
            <w:hideMark/>
          </w:tcPr>
          <w:p w14:paraId="318F5B64"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63B1E1CB"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3A301A1D"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62669D8E"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15B73452"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305ED833" w14:textId="77777777" w:rsidR="00EB51E9" w:rsidRPr="002B2821" w:rsidRDefault="00EB51E9" w:rsidP="00EB51E9">
            <w:pPr>
              <w:spacing w:after="0" w:line="240" w:lineRule="auto"/>
              <w:rPr>
                <w:lang w:eastAsia="en-GB"/>
              </w:rPr>
            </w:pPr>
          </w:p>
        </w:tc>
      </w:tr>
      <w:tr w:rsidR="00EB51E9" w:rsidRPr="002B2821" w14:paraId="743B0D5A" w14:textId="77777777" w:rsidTr="003F461B">
        <w:trPr>
          <w:trHeight w:val="271"/>
        </w:trPr>
        <w:tc>
          <w:tcPr>
            <w:tcW w:w="3515" w:type="dxa"/>
            <w:tcBorders>
              <w:top w:val="nil"/>
              <w:left w:val="nil"/>
              <w:bottom w:val="nil"/>
              <w:right w:val="nil"/>
            </w:tcBorders>
            <w:shd w:val="clear" w:color="auto" w:fill="auto"/>
            <w:noWrap/>
            <w:vAlign w:val="bottom"/>
            <w:hideMark/>
          </w:tcPr>
          <w:p w14:paraId="2316927F" w14:textId="77777777"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Interest income</w:t>
            </w:r>
          </w:p>
        </w:tc>
        <w:tc>
          <w:tcPr>
            <w:tcW w:w="1572" w:type="dxa"/>
            <w:tcBorders>
              <w:top w:val="nil"/>
              <w:left w:val="nil"/>
              <w:bottom w:val="nil"/>
              <w:right w:val="nil"/>
            </w:tcBorders>
            <w:shd w:val="clear" w:color="auto" w:fill="auto"/>
            <w:noWrap/>
            <w:vAlign w:val="bottom"/>
            <w:hideMark/>
          </w:tcPr>
          <w:p w14:paraId="33FED965"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 </w:t>
            </w:r>
          </w:p>
        </w:tc>
        <w:tc>
          <w:tcPr>
            <w:tcW w:w="1078" w:type="dxa"/>
            <w:tcBorders>
              <w:top w:val="nil"/>
              <w:left w:val="nil"/>
              <w:bottom w:val="nil"/>
              <w:right w:val="nil"/>
            </w:tcBorders>
            <w:shd w:val="clear" w:color="auto" w:fill="auto"/>
            <w:noWrap/>
            <w:vAlign w:val="bottom"/>
            <w:hideMark/>
          </w:tcPr>
          <w:p w14:paraId="52E6C790"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 </w:t>
            </w:r>
          </w:p>
        </w:tc>
        <w:tc>
          <w:tcPr>
            <w:tcW w:w="877" w:type="dxa"/>
            <w:tcBorders>
              <w:top w:val="nil"/>
              <w:left w:val="nil"/>
              <w:bottom w:val="nil"/>
              <w:right w:val="nil"/>
            </w:tcBorders>
            <w:shd w:val="clear" w:color="auto" w:fill="auto"/>
            <w:noWrap/>
            <w:vAlign w:val="bottom"/>
            <w:hideMark/>
          </w:tcPr>
          <w:p w14:paraId="7A82D146" w14:textId="27D90410" w:rsidR="00EB51E9" w:rsidRPr="002B2821" w:rsidRDefault="00701A08" w:rsidP="00701A08">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r w:rsidR="00EB51E9" w:rsidRPr="002B2821">
              <w:rPr>
                <w:rFonts w:ascii="Calibri" w:hAnsi="Calibri" w:cs="Arial"/>
                <w:color w:val="000000"/>
                <w:sz w:val="24"/>
                <w:szCs w:val="24"/>
                <w:lang w:eastAsia="en-GB"/>
              </w:rPr>
              <w:t xml:space="preserve"> </w:t>
            </w:r>
          </w:p>
        </w:tc>
        <w:tc>
          <w:tcPr>
            <w:tcW w:w="1263" w:type="dxa"/>
            <w:tcBorders>
              <w:top w:val="nil"/>
              <w:left w:val="nil"/>
              <w:bottom w:val="nil"/>
              <w:right w:val="nil"/>
            </w:tcBorders>
            <w:shd w:val="clear" w:color="auto" w:fill="auto"/>
            <w:noWrap/>
            <w:vAlign w:val="bottom"/>
            <w:hideMark/>
          </w:tcPr>
          <w:p w14:paraId="07A37533" w14:textId="30537FFD" w:rsidR="00EB51E9" w:rsidRPr="002B2821" w:rsidRDefault="00701A08" w:rsidP="00701A08">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r w:rsidR="00EB51E9" w:rsidRPr="002B2821">
              <w:rPr>
                <w:rFonts w:ascii="Calibri" w:hAnsi="Calibri" w:cs="Arial"/>
                <w:color w:val="000000"/>
                <w:sz w:val="24"/>
                <w:szCs w:val="24"/>
                <w:lang w:eastAsia="en-GB"/>
              </w:rPr>
              <w:t xml:space="preserve"> </w:t>
            </w:r>
          </w:p>
        </w:tc>
        <w:tc>
          <w:tcPr>
            <w:tcW w:w="271" w:type="dxa"/>
            <w:tcBorders>
              <w:top w:val="nil"/>
              <w:left w:val="nil"/>
              <w:bottom w:val="nil"/>
              <w:right w:val="nil"/>
            </w:tcBorders>
            <w:shd w:val="clear" w:color="auto" w:fill="auto"/>
            <w:noWrap/>
            <w:vAlign w:val="bottom"/>
            <w:hideMark/>
          </w:tcPr>
          <w:p w14:paraId="24D3E84A" w14:textId="77777777" w:rsidR="00EB51E9" w:rsidRPr="002B2821" w:rsidRDefault="00EB51E9" w:rsidP="00EB51E9">
            <w:pPr>
              <w:spacing w:after="0" w:line="240" w:lineRule="auto"/>
              <w:jc w:val="right"/>
              <w:rPr>
                <w:rFonts w:ascii="Calibri" w:hAnsi="Calibri" w:cs="Arial"/>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708332A6"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3 </w:t>
            </w:r>
          </w:p>
        </w:tc>
      </w:tr>
      <w:tr w:rsidR="00EB51E9" w:rsidRPr="002B2821" w14:paraId="7DB76D5B" w14:textId="77777777" w:rsidTr="003F461B">
        <w:trPr>
          <w:trHeight w:val="271"/>
        </w:trPr>
        <w:tc>
          <w:tcPr>
            <w:tcW w:w="3515" w:type="dxa"/>
            <w:tcBorders>
              <w:top w:val="nil"/>
              <w:left w:val="nil"/>
              <w:bottom w:val="nil"/>
              <w:right w:val="nil"/>
            </w:tcBorders>
            <w:shd w:val="clear" w:color="auto" w:fill="auto"/>
            <w:noWrap/>
            <w:vAlign w:val="bottom"/>
            <w:hideMark/>
          </w:tcPr>
          <w:p w14:paraId="187C2A10" w14:textId="77777777"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Health Grant - Direct costs</w:t>
            </w:r>
          </w:p>
        </w:tc>
        <w:tc>
          <w:tcPr>
            <w:tcW w:w="1572" w:type="dxa"/>
            <w:tcBorders>
              <w:top w:val="nil"/>
              <w:left w:val="nil"/>
              <w:bottom w:val="nil"/>
              <w:right w:val="nil"/>
            </w:tcBorders>
            <w:shd w:val="clear" w:color="auto" w:fill="auto"/>
            <w:noWrap/>
            <w:vAlign w:val="bottom"/>
            <w:hideMark/>
          </w:tcPr>
          <w:p w14:paraId="6E665EBC"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w:t>
            </w:r>
          </w:p>
        </w:tc>
        <w:tc>
          <w:tcPr>
            <w:tcW w:w="1078" w:type="dxa"/>
            <w:tcBorders>
              <w:top w:val="nil"/>
              <w:left w:val="nil"/>
              <w:bottom w:val="nil"/>
              <w:right w:val="nil"/>
            </w:tcBorders>
            <w:shd w:val="clear" w:color="auto" w:fill="auto"/>
            <w:noWrap/>
            <w:vAlign w:val="bottom"/>
            <w:hideMark/>
          </w:tcPr>
          <w:p w14:paraId="684D319B"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w:t>
            </w:r>
          </w:p>
        </w:tc>
        <w:tc>
          <w:tcPr>
            <w:tcW w:w="877" w:type="dxa"/>
            <w:tcBorders>
              <w:top w:val="nil"/>
              <w:left w:val="nil"/>
              <w:bottom w:val="nil"/>
              <w:right w:val="nil"/>
            </w:tcBorders>
            <w:shd w:val="clear" w:color="auto" w:fill="auto"/>
            <w:noWrap/>
            <w:vAlign w:val="bottom"/>
            <w:hideMark/>
          </w:tcPr>
          <w:p w14:paraId="7474E2F1"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w:t>
            </w:r>
          </w:p>
        </w:tc>
        <w:tc>
          <w:tcPr>
            <w:tcW w:w="1263" w:type="dxa"/>
            <w:tcBorders>
              <w:top w:val="nil"/>
              <w:left w:val="nil"/>
              <w:bottom w:val="nil"/>
              <w:right w:val="nil"/>
            </w:tcBorders>
            <w:shd w:val="clear" w:color="auto" w:fill="auto"/>
            <w:noWrap/>
            <w:vAlign w:val="bottom"/>
            <w:hideMark/>
          </w:tcPr>
          <w:p w14:paraId="43333D5F" w14:textId="5A23A4D9" w:rsidR="00EB51E9" w:rsidRPr="002B2821" w:rsidRDefault="00701A08" w:rsidP="00701A08">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r w:rsidR="00EB51E9" w:rsidRPr="002B2821">
              <w:rPr>
                <w:rFonts w:ascii="Calibri" w:hAnsi="Calibri" w:cs="Arial"/>
                <w:color w:val="000000"/>
                <w:sz w:val="24"/>
                <w:szCs w:val="24"/>
                <w:lang w:eastAsia="en-GB"/>
              </w:rPr>
              <w:t xml:space="preserve"> </w:t>
            </w:r>
          </w:p>
        </w:tc>
        <w:tc>
          <w:tcPr>
            <w:tcW w:w="271" w:type="dxa"/>
            <w:tcBorders>
              <w:top w:val="nil"/>
              <w:left w:val="nil"/>
              <w:bottom w:val="nil"/>
              <w:right w:val="nil"/>
            </w:tcBorders>
            <w:shd w:val="clear" w:color="auto" w:fill="auto"/>
            <w:noWrap/>
            <w:vAlign w:val="bottom"/>
            <w:hideMark/>
          </w:tcPr>
          <w:p w14:paraId="1FC64F3D" w14:textId="77777777" w:rsidR="00EB51E9" w:rsidRPr="002B2821" w:rsidRDefault="00EB51E9" w:rsidP="00EB51E9">
            <w:pPr>
              <w:spacing w:after="0" w:line="240" w:lineRule="auto"/>
              <w:jc w:val="right"/>
              <w:rPr>
                <w:rFonts w:ascii="Calibri" w:hAnsi="Calibri" w:cs="Arial"/>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15DA95F4"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(29)</w:t>
            </w:r>
          </w:p>
        </w:tc>
      </w:tr>
      <w:tr w:rsidR="00EB51E9" w:rsidRPr="002B2821" w14:paraId="732C2182" w14:textId="77777777" w:rsidTr="003F461B">
        <w:trPr>
          <w:trHeight w:val="271"/>
        </w:trPr>
        <w:tc>
          <w:tcPr>
            <w:tcW w:w="3515" w:type="dxa"/>
            <w:tcBorders>
              <w:top w:val="nil"/>
              <w:left w:val="nil"/>
              <w:bottom w:val="nil"/>
              <w:right w:val="nil"/>
            </w:tcBorders>
            <w:shd w:val="clear" w:color="auto" w:fill="auto"/>
            <w:noWrap/>
            <w:vAlign w:val="bottom"/>
            <w:hideMark/>
          </w:tcPr>
          <w:p w14:paraId="00EB3359" w14:textId="77777777" w:rsidR="00EB51E9" w:rsidRPr="002B2821" w:rsidRDefault="00EB51E9" w:rsidP="00EB51E9">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Health Grants – Indirect costs</w:t>
            </w:r>
          </w:p>
        </w:tc>
        <w:tc>
          <w:tcPr>
            <w:tcW w:w="1572" w:type="dxa"/>
            <w:tcBorders>
              <w:top w:val="nil"/>
              <w:left w:val="nil"/>
              <w:bottom w:val="nil"/>
              <w:right w:val="nil"/>
            </w:tcBorders>
            <w:shd w:val="clear" w:color="auto" w:fill="auto"/>
            <w:noWrap/>
            <w:vAlign w:val="bottom"/>
            <w:hideMark/>
          </w:tcPr>
          <w:p w14:paraId="5A1D9766"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(237)</w:t>
            </w:r>
          </w:p>
        </w:tc>
        <w:tc>
          <w:tcPr>
            <w:tcW w:w="1078" w:type="dxa"/>
            <w:tcBorders>
              <w:top w:val="nil"/>
              <w:left w:val="nil"/>
              <w:bottom w:val="nil"/>
              <w:right w:val="nil"/>
            </w:tcBorders>
            <w:shd w:val="clear" w:color="auto" w:fill="auto"/>
            <w:noWrap/>
            <w:vAlign w:val="bottom"/>
            <w:hideMark/>
          </w:tcPr>
          <w:p w14:paraId="3C461B7E"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(36)</w:t>
            </w:r>
          </w:p>
        </w:tc>
        <w:tc>
          <w:tcPr>
            <w:tcW w:w="877" w:type="dxa"/>
            <w:tcBorders>
              <w:top w:val="nil"/>
              <w:left w:val="nil"/>
              <w:bottom w:val="nil"/>
              <w:right w:val="nil"/>
            </w:tcBorders>
            <w:shd w:val="clear" w:color="auto" w:fill="auto"/>
            <w:noWrap/>
            <w:vAlign w:val="bottom"/>
            <w:hideMark/>
          </w:tcPr>
          <w:p w14:paraId="6899843E"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(17)</w:t>
            </w:r>
          </w:p>
        </w:tc>
        <w:tc>
          <w:tcPr>
            <w:tcW w:w="1263" w:type="dxa"/>
            <w:tcBorders>
              <w:top w:val="nil"/>
              <w:left w:val="nil"/>
              <w:bottom w:val="nil"/>
              <w:right w:val="nil"/>
            </w:tcBorders>
            <w:shd w:val="clear" w:color="auto" w:fill="auto"/>
            <w:noWrap/>
            <w:vAlign w:val="bottom"/>
            <w:hideMark/>
          </w:tcPr>
          <w:p w14:paraId="647325B3" w14:textId="77777777" w:rsidR="00EB51E9" w:rsidRPr="002B2821" w:rsidRDefault="00EB51E9" w:rsidP="00EB51E9">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w:t>
            </w:r>
          </w:p>
        </w:tc>
        <w:tc>
          <w:tcPr>
            <w:tcW w:w="271" w:type="dxa"/>
            <w:tcBorders>
              <w:top w:val="nil"/>
              <w:left w:val="nil"/>
              <w:bottom w:val="nil"/>
              <w:right w:val="nil"/>
            </w:tcBorders>
            <w:shd w:val="clear" w:color="auto" w:fill="auto"/>
            <w:noWrap/>
            <w:vAlign w:val="bottom"/>
            <w:hideMark/>
          </w:tcPr>
          <w:p w14:paraId="307A2270" w14:textId="77777777" w:rsidR="00EB51E9" w:rsidRPr="002B2821" w:rsidRDefault="00EB51E9" w:rsidP="00EB51E9">
            <w:pPr>
              <w:spacing w:after="0" w:line="240" w:lineRule="auto"/>
              <w:jc w:val="right"/>
              <w:rPr>
                <w:rFonts w:ascii="Calibri" w:hAnsi="Calibri" w:cs="Arial"/>
                <w:color w:val="000000"/>
                <w:sz w:val="24"/>
                <w:szCs w:val="24"/>
                <w:lang w:eastAsia="en-GB"/>
              </w:rPr>
            </w:pPr>
          </w:p>
        </w:tc>
        <w:tc>
          <w:tcPr>
            <w:tcW w:w="1335" w:type="dxa"/>
            <w:tcBorders>
              <w:top w:val="nil"/>
              <w:left w:val="nil"/>
              <w:bottom w:val="nil"/>
              <w:right w:val="nil"/>
            </w:tcBorders>
            <w:shd w:val="clear" w:color="auto" w:fill="auto"/>
            <w:noWrap/>
            <w:vAlign w:val="bottom"/>
            <w:hideMark/>
          </w:tcPr>
          <w:p w14:paraId="5887F76E"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(300)</w:t>
            </w:r>
          </w:p>
        </w:tc>
      </w:tr>
      <w:tr w:rsidR="00EB51E9" w:rsidRPr="002B2821" w14:paraId="319A7D54" w14:textId="77777777" w:rsidTr="003F461B">
        <w:trPr>
          <w:trHeight w:val="108"/>
        </w:trPr>
        <w:tc>
          <w:tcPr>
            <w:tcW w:w="3515" w:type="dxa"/>
            <w:tcBorders>
              <w:top w:val="nil"/>
              <w:left w:val="nil"/>
              <w:bottom w:val="nil"/>
              <w:right w:val="nil"/>
            </w:tcBorders>
            <w:shd w:val="clear" w:color="auto" w:fill="auto"/>
            <w:noWrap/>
            <w:vAlign w:val="bottom"/>
            <w:hideMark/>
          </w:tcPr>
          <w:p w14:paraId="7F0E5D4D"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572" w:type="dxa"/>
            <w:tcBorders>
              <w:top w:val="nil"/>
              <w:left w:val="nil"/>
              <w:bottom w:val="nil"/>
              <w:right w:val="nil"/>
            </w:tcBorders>
            <w:shd w:val="clear" w:color="auto" w:fill="auto"/>
            <w:noWrap/>
            <w:vAlign w:val="bottom"/>
            <w:hideMark/>
          </w:tcPr>
          <w:p w14:paraId="651E5486"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579D74C4"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4E95661C"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547B1105"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1048C649"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52EB8D59" w14:textId="77777777" w:rsidR="00EB51E9" w:rsidRPr="002B2821" w:rsidRDefault="00EB51E9" w:rsidP="00EB51E9">
            <w:pPr>
              <w:spacing w:after="0" w:line="240" w:lineRule="auto"/>
              <w:rPr>
                <w:lang w:eastAsia="en-GB"/>
              </w:rPr>
            </w:pPr>
          </w:p>
        </w:tc>
      </w:tr>
      <w:tr w:rsidR="00EB51E9" w:rsidRPr="002B2821" w14:paraId="6D6E583A" w14:textId="77777777" w:rsidTr="003F461B">
        <w:trPr>
          <w:trHeight w:val="285"/>
        </w:trPr>
        <w:tc>
          <w:tcPr>
            <w:tcW w:w="3515" w:type="dxa"/>
            <w:tcBorders>
              <w:top w:val="nil"/>
              <w:left w:val="nil"/>
              <w:bottom w:val="nil"/>
              <w:right w:val="nil"/>
            </w:tcBorders>
            <w:shd w:val="clear" w:color="auto" w:fill="auto"/>
            <w:noWrap/>
            <w:vAlign w:val="bottom"/>
            <w:hideMark/>
          </w:tcPr>
          <w:p w14:paraId="1699CA49" w14:textId="77777777" w:rsidR="004D42FA" w:rsidRPr="002B2821" w:rsidRDefault="00EB51E9" w:rsidP="00EB51E9">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Fund balances as at </w:t>
            </w:r>
          </w:p>
          <w:p w14:paraId="0EC6CBDF" w14:textId="24F2119C" w:rsidR="00EB51E9" w:rsidRPr="002B2821" w:rsidRDefault="00EB51E9" w:rsidP="00EB51E9">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30 September 2018</w:t>
            </w:r>
          </w:p>
        </w:tc>
        <w:tc>
          <w:tcPr>
            <w:tcW w:w="1572" w:type="dxa"/>
            <w:tcBorders>
              <w:top w:val="single" w:sz="4" w:space="0" w:color="000000"/>
              <w:left w:val="nil"/>
              <w:bottom w:val="single" w:sz="4" w:space="0" w:color="000000"/>
              <w:right w:val="nil"/>
            </w:tcBorders>
            <w:shd w:val="clear" w:color="auto" w:fill="auto"/>
            <w:noWrap/>
            <w:vAlign w:val="bottom"/>
            <w:hideMark/>
          </w:tcPr>
          <w:p w14:paraId="7B87E101"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(151)</w:t>
            </w:r>
          </w:p>
        </w:tc>
        <w:tc>
          <w:tcPr>
            <w:tcW w:w="1078" w:type="dxa"/>
            <w:tcBorders>
              <w:top w:val="single" w:sz="4" w:space="0" w:color="000000"/>
              <w:left w:val="nil"/>
              <w:bottom w:val="single" w:sz="4" w:space="0" w:color="000000"/>
              <w:right w:val="nil"/>
            </w:tcBorders>
            <w:shd w:val="clear" w:color="auto" w:fill="auto"/>
            <w:noWrap/>
            <w:vAlign w:val="bottom"/>
            <w:hideMark/>
          </w:tcPr>
          <w:p w14:paraId="26CFF001"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111 </w:t>
            </w:r>
          </w:p>
        </w:tc>
        <w:tc>
          <w:tcPr>
            <w:tcW w:w="877" w:type="dxa"/>
            <w:tcBorders>
              <w:top w:val="single" w:sz="4" w:space="0" w:color="000000"/>
              <w:left w:val="nil"/>
              <w:bottom w:val="single" w:sz="4" w:space="0" w:color="000000"/>
              <w:right w:val="nil"/>
            </w:tcBorders>
            <w:shd w:val="clear" w:color="auto" w:fill="auto"/>
            <w:noWrap/>
            <w:vAlign w:val="bottom"/>
            <w:hideMark/>
          </w:tcPr>
          <w:p w14:paraId="12372DF5"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(247)</w:t>
            </w:r>
          </w:p>
        </w:tc>
        <w:tc>
          <w:tcPr>
            <w:tcW w:w="1263" w:type="dxa"/>
            <w:tcBorders>
              <w:top w:val="single" w:sz="4" w:space="0" w:color="000000"/>
              <w:left w:val="nil"/>
              <w:bottom w:val="single" w:sz="4" w:space="0" w:color="000000"/>
              <w:right w:val="nil"/>
            </w:tcBorders>
            <w:shd w:val="clear" w:color="auto" w:fill="auto"/>
            <w:noWrap/>
            <w:vAlign w:val="bottom"/>
            <w:hideMark/>
          </w:tcPr>
          <w:p w14:paraId="69EAD071"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(149)</w:t>
            </w:r>
          </w:p>
        </w:tc>
        <w:tc>
          <w:tcPr>
            <w:tcW w:w="271" w:type="dxa"/>
            <w:tcBorders>
              <w:top w:val="single" w:sz="4" w:space="0" w:color="000000"/>
              <w:left w:val="nil"/>
              <w:bottom w:val="single" w:sz="4" w:space="0" w:color="000000"/>
              <w:right w:val="nil"/>
            </w:tcBorders>
            <w:shd w:val="clear" w:color="auto" w:fill="auto"/>
            <w:noWrap/>
            <w:vAlign w:val="bottom"/>
            <w:hideMark/>
          </w:tcPr>
          <w:p w14:paraId="704B60FB" w14:textId="77777777" w:rsidR="00EB51E9" w:rsidRPr="002B2821" w:rsidRDefault="00EB51E9" w:rsidP="00EB51E9">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1335" w:type="dxa"/>
            <w:tcBorders>
              <w:top w:val="single" w:sz="4" w:space="0" w:color="000000"/>
              <w:left w:val="nil"/>
              <w:bottom w:val="single" w:sz="4" w:space="0" w:color="000000"/>
              <w:right w:val="nil"/>
            </w:tcBorders>
            <w:shd w:val="clear" w:color="auto" w:fill="auto"/>
            <w:noWrap/>
            <w:vAlign w:val="bottom"/>
            <w:hideMark/>
          </w:tcPr>
          <w:p w14:paraId="16D46689" w14:textId="77777777" w:rsidR="00EB51E9" w:rsidRPr="002B2821" w:rsidRDefault="00EB51E9" w:rsidP="00EB51E9">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(436)</w:t>
            </w:r>
          </w:p>
        </w:tc>
      </w:tr>
      <w:tr w:rsidR="00EB51E9" w:rsidRPr="002B2821" w14:paraId="64D80511" w14:textId="77777777" w:rsidTr="003F461B">
        <w:trPr>
          <w:trHeight w:val="285"/>
        </w:trPr>
        <w:tc>
          <w:tcPr>
            <w:tcW w:w="3515" w:type="dxa"/>
            <w:tcBorders>
              <w:top w:val="nil"/>
              <w:left w:val="nil"/>
              <w:bottom w:val="nil"/>
              <w:right w:val="nil"/>
            </w:tcBorders>
            <w:shd w:val="clear" w:color="auto" w:fill="auto"/>
            <w:noWrap/>
            <w:vAlign w:val="bottom"/>
            <w:hideMark/>
          </w:tcPr>
          <w:p w14:paraId="3D3BADB2" w14:textId="77777777" w:rsidR="00EB51E9" w:rsidRPr="002B2821" w:rsidRDefault="00EB51E9" w:rsidP="00EB51E9">
            <w:pPr>
              <w:spacing w:after="0" w:line="240" w:lineRule="auto"/>
              <w:jc w:val="right"/>
              <w:rPr>
                <w:rFonts w:ascii="Calibri" w:hAnsi="Calibri" w:cs="Arial"/>
                <w:b/>
                <w:bCs/>
                <w:color w:val="000000"/>
                <w:sz w:val="24"/>
                <w:szCs w:val="24"/>
                <w:lang w:eastAsia="en-GB"/>
              </w:rPr>
            </w:pPr>
          </w:p>
        </w:tc>
        <w:tc>
          <w:tcPr>
            <w:tcW w:w="1572" w:type="dxa"/>
            <w:tcBorders>
              <w:top w:val="nil"/>
              <w:left w:val="nil"/>
              <w:bottom w:val="nil"/>
              <w:right w:val="nil"/>
            </w:tcBorders>
            <w:shd w:val="clear" w:color="auto" w:fill="auto"/>
            <w:noWrap/>
            <w:vAlign w:val="bottom"/>
            <w:hideMark/>
          </w:tcPr>
          <w:p w14:paraId="35834C9F" w14:textId="77777777" w:rsidR="00EB51E9" w:rsidRPr="002B2821" w:rsidRDefault="00EB51E9" w:rsidP="00EB51E9">
            <w:pPr>
              <w:spacing w:after="0" w:line="240" w:lineRule="auto"/>
              <w:rPr>
                <w:lang w:eastAsia="en-GB"/>
              </w:rPr>
            </w:pPr>
          </w:p>
        </w:tc>
        <w:tc>
          <w:tcPr>
            <w:tcW w:w="1078" w:type="dxa"/>
            <w:tcBorders>
              <w:top w:val="nil"/>
              <w:left w:val="nil"/>
              <w:bottom w:val="nil"/>
              <w:right w:val="nil"/>
            </w:tcBorders>
            <w:shd w:val="clear" w:color="auto" w:fill="auto"/>
            <w:noWrap/>
            <w:vAlign w:val="bottom"/>
            <w:hideMark/>
          </w:tcPr>
          <w:p w14:paraId="091F4A21" w14:textId="77777777" w:rsidR="00EB51E9" w:rsidRPr="002B2821" w:rsidRDefault="00EB51E9" w:rsidP="00EB51E9">
            <w:pPr>
              <w:spacing w:after="0" w:line="240" w:lineRule="auto"/>
              <w:rPr>
                <w:lang w:eastAsia="en-GB"/>
              </w:rPr>
            </w:pPr>
          </w:p>
        </w:tc>
        <w:tc>
          <w:tcPr>
            <w:tcW w:w="877" w:type="dxa"/>
            <w:tcBorders>
              <w:top w:val="nil"/>
              <w:left w:val="nil"/>
              <w:bottom w:val="nil"/>
              <w:right w:val="nil"/>
            </w:tcBorders>
            <w:shd w:val="clear" w:color="auto" w:fill="auto"/>
            <w:noWrap/>
            <w:vAlign w:val="bottom"/>
            <w:hideMark/>
          </w:tcPr>
          <w:p w14:paraId="106B89B7" w14:textId="77777777" w:rsidR="00EB51E9" w:rsidRPr="002B2821" w:rsidRDefault="00EB51E9" w:rsidP="00EB51E9">
            <w:pPr>
              <w:spacing w:after="0" w:line="240" w:lineRule="auto"/>
              <w:rPr>
                <w:lang w:eastAsia="en-GB"/>
              </w:rPr>
            </w:pPr>
          </w:p>
        </w:tc>
        <w:tc>
          <w:tcPr>
            <w:tcW w:w="1263" w:type="dxa"/>
            <w:tcBorders>
              <w:top w:val="nil"/>
              <w:left w:val="nil"/>
              <w:bottom w:val="nil"/>
              <w:right w:val="nil"/>
            </w:tcBorders>
            <w:shd w:val="clear" w:color="auto" w:fill="auto"/>
            <w:noWrap/>
            <w:vAlign w:val="bottom"/>
            <w:hideMark/>
          </w:tcPr>
          <w:p w14:paraId="088EEE07" w14:textId="77777777" w:rsidR="00EB51E9" w:rsidRPr="002B2821" w:rsidRDefault="00EB51E9" w:rsidP="00EB51E9">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6E4E2D06" w14:textId="77777777" w:rsidR="00EB51E9" w:rsidRPr="002B2821" w:rsidRDefault="00EB51E9" w:rsidP="00EB51E9">
            <w:pPr>
              <w:spacing w:after="0" w:line="240" w:lineRule="auto"/>
              <w:rPr>
                <w:lang w:eastAsia="en-GB"/>
              </w:rPr>
            </w:pPr>
          </w:p>
        </w:tc>
        <w:tc>
          <w:tcPr>
            <w:tcW w:w="1335" w:type="dxa"/>
            <w:tcBorders>
              <w:top w:val="nil"/>
              <w:left w:val="nil"/>
              <w:bottom w:val="nil"/>
              <w:right w:val="nil"/>
            </w:tcBorders>
            <w:shd w:val="clear" w:color="auto" w:fill="auto"/>
            <w:noWrap/>
            <w:vAlign w:val="bottom"/>
            <w:hideMark/>
          </w:tcPr>
          <w:p w14:paraId="48223F02" w14:textId="77777777" w:rsidR="00EB51E9" w:rsidRPr="002B2821" w:rsidRDefault="00EB51E9" w:rsidP="00EB51E9">
            <w:pPr>
              <w:spacing w:after="0" w:line="240" w:lineRule="auto"/>
              <w:rPr>
                <w:lang w:eastAsia="en-GB"/>
              </w:rPr>
            </w:pPr>
          </w:p>
        </w:tc>
      </w:tr>
    </w:tbl>
    <w:p w14:paraId="293BD5C3" w14:textId="42454CDD" w:rsidR="008D56B3" w:rsidRDefault="008D56B3" w:rsidP="008D56B3">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EB51E9"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1857DFD5" w14:textId="77777777" w:rsidR="007753E7" w:rsidRPr="002B2821" w:rsidRDefault="007753E7" w:rsidP="008D56B3">
      <w:pPr>
        <w:pStyle w:val="BodyText"/>
        <w:spacing w:after="0" w:line="240" w:lineRule="auto"/>
        <w:rPr>
          <w:rFonts w:asciiTheme="minorHAnsi" w:hAnsiTheme="minorHAnsi" w:cs="Arial"/>
          <w:b/>
          <w:color w:val="442359"/>
          <w:sz w:val="24"/>
          <w:szCs w:val="24"/>
        </w:rPr>
      </w:pPr>
    </w:p>
    <w:p w14:paraId="16C476D3" w14:textId="1897F327" w:rsidR="007753E7" w:rsidRPr="002B2821" w:rsidRDefault="004B28C6" w:rsidP="007753E7">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6</w:t>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t xml:space="preserve">    Trust costs</w:t>
      </w:r>
      <w:r w:rsidR="00EB51E9" w:rsidRPr="002B2821">
        <w:rPr>
          <w:rFonts w:asciiTheme="minorHAnsi" w:hAnsiTheme="minorHAnsi" w:cs="Arial"/>
          <w:b/>
          <w:color w:val="442359"/>
          <w:sz w:val="24"/>
          <w:szCs w:val="24"/>
        </w:rPr>
        <w:t xml:space="preserve"> </w:t>
      </w:r>
      <w:r w:rsidR="001D1D1E">
        <w:rPr>
          <w:rFonts w:asciiTheme="minorHAnsi" w:hAnsiTheme="minorHAnsi" w:cs="Arial"/>
          <w:b/>
          <w:color w:val="442359"/>
          <w:sz w:val="24"/>
          <w:szCs w:val="24"/>
        </w:rPr>
        <w:t>and net income</w:t>
      </w:r>
    </w:p>
    <w:tbl>
      <w:tblPr>
        <w:tblW w:w="11663" w:type="dxa"/>
        <w:tblInd w:w="-1786" w:type="dxa"/>
        <w:tblLayout w:type="fixed"/>
        <w:tblLook w:val="04A0" w:firstRow="1" w:lastRow="0" w:firstColumn="1" w:lastColumn="0" w:noHBand="0" w:noVBand="1"/>
      </w:tblPr>
      <w:tblGrid>
        <w:gridCol w:w="261"/>
        <w:gridCol w:w="249"/>
        <w:gridCol w:w="1129"/>
        <w:gridCol w:w="714"/>
        <w:gridCol w:w="1276"/>
        <w:gridCol w:w="425"/>
        <w:gridCol w:w="425"/>
        <w:gridCol w:w="1054"/>
        <w:gridCol w:w="1214"/>
        <w:gridCol w:w="709"/>
        <w:gridCol w:w="1134"/>
        <w:gridCol w:w="993"/>
        <w:gridCol w:w="850"/>
        <w:gridCol w:w="851"/>
        <w:gridCol w:w="141"/>
        <w:gridCol w:w="97"/>
        <w:gridCol w:w="141"/>
      </w:tblGrid>
      <w:tr w:rsidR="003D771B" w:rsidRPr="002B2821" w14:paraId="7FA60D62" w14:textId="77777777" w:rsidTr="003D771B">
        <w:trPr>
          <w:gridAfter w:val="4"/>
          <w:wAfter w:w="1230" w:type="dxa"/>
          <w:trHeight w:val="101"/>
        </w:trPr>
        <w:tc>
          <w:tcPr>
            <w:tcW w:w="261" w:type="dxa"/>
            <w:shd w:val="clear" w:color="auto" w:fill="auto"/>
            <w:noWrap/>
            <w:vAlign w:val="bottom"/>
            <w:hideMark/>
          </w:tcPr>
          <w:p w14:paraId="0A0F444A" w14:textId="77777777" w:rsidR="003D771B" w:rsidRPr="002B2821" w:rsidRDefault="003D771B" w:rsidP="00F9539E">
            <w:pPr>
              <w:spacing w:after="0" w:line="240" w:lineRule="auto"/>
              <w:rPr>
                <w:sz w:val="24"/>
                <w:szCs w:val="24"/>
                <w:lang w:eastAsia="en-GB"/>
              </w:rPr>
            </w:pPr>
          </w:p>
        </w:tc>
        <w:tc>
          <w:tcPr>
            <w:tcW w:w="249" w:type="dxa"/>
            <w:shd w:val="clear" w:color="auto" w:fill="auto"/>
            <w:noWrap/>
            <w:vAlign w:val="bottom"/>
            <w:hideMark/>
          </w:tcPr>
          <w:p w14:paraId="06BB70E0" w14:textId="77777777" w:rsidR="003D771B" w:rsidRPr="002B2821" w:rsidRDefault="003D771B" w:rsidP="00F9539E">
            <w:pPr>
              <w:spacing w:after="0" w:line="240" w:lineRule="auto"/>
              <w:rPr>
                <w:lang w:eastAsia="en-GB"/>
              </w:rPr>
            </w:pPr>
          </w:p>
        </w:tc>
        <w:tc>
          <w:tcPr>
            <w:tcW w:w="1843" w:type="dxa"/>
            <w:gridSpan w:val="2"/>
            <w:shd w:val="clear" w:color="auto" w:fill="auto"/>
            <w:noWrap/>
            <w:vAlign w:val="bottom"/>
            <w:hideMark/>
          </w:tcPr>
          <w:p w14:paraId="5FE5F85F" w14:textId="77777777" w:rsidR="003D771B" w:rsidRPr="002B2821" w:rsidRDefault="003D771B" w:rsidP="00F9539E">
            <w:pPr>
              <w:spacing w:after="0" w:line="240" w:lineRule="auto"/>
              <w:rPr>
                <w:lang w:eastAsia="en-GB"/>
              </w:rPr>
            </w:pPr>
          </w:p>
        </w:tc>
        <w:tc>
          <w:tcPr>
            <w:tcW w:w="1701" w:type="dxa"/>
            <w:gridSpan w:val="2"/>
            <w:shd w:val="clear" w:color="auto" w:fill="auto"/>
            <w:noWrap/>
            <w:hideMark/>
          </w:tcPr>
          <w:p w14:paraId="7BD63F58" w14:textId="0BB6DB95" w:rsidR="003D771B" w:rsidRPr="002B2821" w:rsidRDefault="003D771B" w:rsidP="00DE4819">
            <w:pPr>
              <w:spacing w:after="0" w:line="240" w:lineRule="auto"/>
              <w:rPr>
                <w:rFonts w:ascii="Calibri" w:hAnsi="Calibri" w:cs="Arial"/>
                <w:b/>
                <w:bCs/>
                <w:color w:val="333399"/>
                <w:sz w:val="18"/>
                <w:szCs w:val="18"/>
                <w:lang w:eastAsia="en-GB"/>
              </w:rPr>
            </w:pPr>
          </w:p>
        </w:tc>
        <w:tc>
          <w:tcPr>
            <w:tcW w:w="4536" w:type="dxa"/>
            <w:gridSpan w:val="5"/>
            <w:shd w:val="clear" w:color="auto" w:fill="auto"/>
          </w:tcPr>
          <w:p w14:paraId="14763ACB" w14:textId="33194AA2" w:rsidR="003D771B" w:rsidRPr="002B2821" w:rsidRDefault="003D771B" w:rsidP="00DE4819">
            <w:pPr>
              <w:spacing w:after="0" w:line="240" w:lineRule="auto"/>
              <w:rPr>
                <w:rFonts w:ascii="Calibri" w:hAnsi="Calibri" w:cs="Arial"/>
                <w:b/>
                <w:bCs/>
                <w:color w:val="333399"/>
                <w:sz w:val="18"/>
                <w:szCs w:val="18"/>
                <w:lang w:eastAsia="en-GB"/>
              </w:rPr>
            </w:pPr>
            <w:r w:rsidRPr="002B2821">
              <w:rPr>
                <w:rFonts w:ascii="Calibri" w:hAnsi="Calibri" w:cs="Arial"/>
                <w:b/>
                <w:bCs/>
                <w:color w:val="333399"/>
                <w:sz w:val="18"/>
                <w:szCs w:val="18"/>
                <w:lang w:eastAsia="en-GB"/>
              </w:rPr>
              <w:t>Unrestricted costs</w:t>
            </w:r>
          </w:p>
        </w:tc>
        <w:tc>
          <w:tcPr>
            <w:tcW w:w="1843" w:type="dxa"/>
            <w:gridSpan w:val="2"/>
            <w:shd w:val="clear" w:color="auto" w:fill="auto"/>
            <w:noWrap/>
            <w:vAlign w:val="bottom"/>
          </w:tcPr>
          <w:p w14:paraId="16BA2EE7" w14:textId="784D1567" w:rsidR="003D771B" w:rsidRPr="00DE4819" w:rsidRDefault="003D771B" w:rsidP="00DE4819">
            <w:pPr>
              <w:spacing w:after="0" w:line="240" w:lineRule="auto"/>
              <w:jc w:val="center"/>
              <w:rPr>
                <w:rFonts w:ascii="Calibri" w:hAnsi="Calibri" w:cs="Arial"/>
                <w:b/>
                <w:bCs/>
                <w:color w:val="333399"/>
                <w:sz w:val="18"/>
                <w:szCs w:val="18"/>
                <w:lang w:eastAsia="en-GB"/>
              </w:rPr>
            </w:pPr>
            <w:r w:rsidRPr="002B2821">
              <w:rPr>
                <w:rFonts w:ascii="Calibri" w:hAnsi="Calibri" w:cs="Arial"/>
                <w:b/>
                <w:bCs/>
                <w:color w:val="333399"/>
                <w:sz w:val="18"/>
                <w:szCs w:val="18"/>
                <w:lang w:eastAsia="en-GB"/>
              </w:rPr>
              <w:t>Restricted</w:t>
            </w:r>
            <w:r>
              <w:rPr>
                <w:rFonts w:ascii="Calibri" w:hAnsi="Calibri" w:cs="Arial"/>
                <w:b/>
                <w:bCs/>
                <w:color w:val="333399"/>
                <w:sz w:val="18"/>
                <w:szCs w:val="18"/>
                <w:lang w:eastAsia="en-GB"/>
              </w:rPr>
              <w:t xml:space="preserve"> </w:t>
            </w:r>
            <w:r w:rsidRPr="002B2821">
              <w:rPr>
                <w:rFonts w:ascii="Calibri" w:hAnsi="Calibri" w:cs="Arial"/>
                <w:b/>
                <w:bCs/>
                <w:color w:val="333399"/>
                <w:sz w:val="18"/>
                <w:szCs w:val="18"/>
                <w:lang w:eastAsia="en-GB"/>
              </w:rPr>
              <w:t>Costs</w:t>
            </w:r>
          </w:p>
        </w:tc>
      </w:tr>
      <w:tr w:rsidR="00DE4819" w:rsidRPr="002B2821" w14:paraId="2812EC0E" w14:textId="77777777" w:rsidTr="00DE4819">
        <w:trPr>
          <w:gridAfter w:val="4"/>
          <w:wAfter w:w="1230" w:type="dxa"/>
          <w:trHeight w:val="206"/>
        </w:trPr>
        <w:tc>
          <w:tcPr>
            <w:tcW w:w="261" w:type="dxa"/>
            <w:shd w:val="clear" w:color="auto" w:fill="auto"/>
            <w:noWrap/>
            <w:vAlign w:val="bottom"/>
            <w:hideMark/>
          </w:tcPr>
          <w:p w14:paraId="205C7505" w14:textId="77777777" w:rsidR="00DE4819" w:rsidRPr="002B2821" w:rsidRDefault="00DE4819" w:rsidP="00F9539E">
            <w:pPr>
              <w:spacing w:after="0" w:line="240" w:lineRule="auto"/>
              <w:rPr>
                <w:lang w:eastAsia="en-GB"/>
              </w:rPr>
            </w:pPr>
          </w:p>
        </w:tc>
        <w:tc>
          <w:tcPr>
            <w:tcW w:w="249" w:type="dxa"/>
            <w:shd w:val="clear" w:color="auto" w:fill="auto"/>
            <w:noWrap/>
            <w:vAlign w:val="bottom"/>
            <w:hideMark/>
          </w:tcPr>
          <w:p w14:paraId="16020395" w14:textId="77777777" w:rsidR="00DE4819" w:rsidRPr="002B2821" w:rsidRDefault="00DE4819" w:rsidP="00F9539E">
            <w:pPr>
              <w:spacing w:after="0" w:line="240" w:lineRule="auto"/>
              <w:rPr>
                <w:lang w:eastAsia="en-GB"/>
              </w:rPr>
            </w:pPr>
          </w:p>
        </w:tc>
        <w:tc>
          <w:tcPr>
            <w:tcW w:w="1843" w:type="dxa"/>
            <w:gridSpan w:val="2"/>
            <w:shd w:val="clear" w:color="auto" w:fill="auto"/>
            <w:noWrap/>
            <w:vAlign w:val="bottom"/>
            <w:hideMark/>
          </w:tcPr>
          <w:p w14:paraId="66501889" w14:textId="77777777" w:rsidR="00DE4819" w:rsidRPr="002B2821" w:rsidRDefault="00DE4819" w:rsidP="00F9539E">
            <w:pPr>
              <w:spacing w:after="0" w:line="240" w:lineRule="auto"/>
              <w:rPr>
                <w:lang w:eastAsia="en-GB"/>
              </w:rPr>
            </w:pPr>
          </w:p>
        </w:tc>
        <w:tc>
          <w:tcPr>
            <w:tcW w:w="1276" w:type="dxa"/>
            <w:shd w:val="clear" w:color="auto" w:fill="auto"/>
            <w:noWrap/>
            <w:vAlign w:val="center"/>
            <w:hideMark/>
          </w:tcPr>
          <w:p w14:paraId="29CA1C75" w14:textId="77777777" w:rsidR="00DE4819" w:rsidRPr="002B2821" w:rsidRDefault="00DE4819" w:rsidP="00F9539E">
            <w:pPr>
              <w:spacing w:after="0" w:line="240" w:lineRule="auto"/>
              <w:rPr>
                <w:lang w:eastAsia="en-GB"/>
              </w:rPr>
            </w:pPr>
          </w:p>
        </w:tc>
        <w:tc>
          <w:tcPr>
            <w:tcW w:w="850" w:type="dxa"/>
            <w:gridSpan w:val="2"/>
            <w:shd w:val="clear" w:color="auto" w:fill="auto"/>
            <w:noWrap/>
            <w:vAlign w:val="bottom"/>
            <w:hideMark/>
          </w:tcPr>
          <w:p w14:paraId="49B2826E" w14:textId="77777777" w:rsidR="00DE4819" w:rsidRPr="002B2821" w:rsidRDefault="00DE4819" w:rsidP="00F9539E">
            <w:pPr>
              <w:spacing w:after="0" w:line="240" w:lineRule="auto"/>
              <w:jc w:val="center"/>
              <w:rPr>
                <w:lang w:eastAsia="en-GB"/>
              </w:rPr>
            </w:pPr>
          </w:p>
        </w:tc>
        <w:tc>
          <w:tcPr>
            <w:tcW w:w="1054" w:type="dxa"/>
            <w:tcBorders>
              <w:right w:val="single" w:sz="4" w:space="0" w:color="auto"/>
            </w:tcBorders>
            <w:shd w:val="clear" w:color="auto" w:fill="auto"/>
            <w:noWrap/>
            <w:vAlign w:val="bottom"/>
            <w:hideMark/>
          </w:tcPr>
          <w:p w14:paraId="60428C34" w14:textId="77777777" w:rsidR="00DE4819" w:rsidRPr="002B2821" w:rsidRDefault="00DE4819" w:rsidP="00F9539E">
            <w:pPr>
              <w:spacing w:after="0" w:line="240" w:lineRule="auto"/>
              <w:rPr>
                <w:lang w:eastAsia="en-GB"/>
              </w:rPr>
            </w:pPr>
          </w:p>
        </w:tc>
        <w:tc>
          <w:tcPr>
            <w:tcW w:w="3057" w:type="dxa"/>
            <w:gridSpan w:val="3"/>
            <w:tcBorders>
              <w:top w:val="single" w:sz="4" w:space="0" w:color="auto"/>
              <w:left w:val="single" w:sz="4" w:space="0" w:color="auto"/>
              <w:right w:val="single" w:sz="4" w:space="0" w:color="auto"/>
            </w:tcBorders>
            <w:shd w:val="clear" w:color="auto" w:fill="auto"/>
            <w:noWrap/>
            <w:vAlign w:val="bottom"/>
            <w:hideMark/>
          </w:tcPr>
          <w:p w14:paraId="74098359" w14:textId="77777777" w:rsidR="00DE4819" w:rsidRPr="002B2821" w:rsidRDefault="00DE4819" w:rsidP="00F9539E">
            <w:pPr>
              <w:spacing w:after="0" w:line="240" w:lineRule="auto"/>
              <w:jc w:val="center"/>
              <w:rPr>
                <w:rFonts w:ascii="Calibri" w:hAnsi="Calibri" w:cs="Arial"/>
                <w:b/>
                <w:bCs/>
                <w:color w:val="333399"/>
                <w:sz w:val="18"/>
                <w:szCs w:val="18"/>
                <w:lang w:eastAsia="en-GB"/>
              </w:rPr>
            </w:pPr>
            <w:r w:rsidRPr="002B2821">
              <w:rPr>
                <w:rFonts w:ascii="Calibri" w:hAnsi="Calibri" w:cs="Arial"/>
                <w:b/>
                <w:bCs/>
                <w:color w:val="333399"/>
                <w:sz w:val="18"/>
                <w:szCs w:val="18"/>
                <w:lang w:eastAsia="en-GB"/>
              </w:rPr>
              <w:t>Other Costs</w:t>
            </w:r>
          </w:p>
        </w:tc>
        <w:tc>
          <w:tcPr>
            <w:tcW w:w="993" w:type="dxa"/>
            <w:tcBorders>
              <w:left w:val="single" w:sz="4" w:space="0" w:color="auto"/>
            </w:tcBorders>
            <w:shd w:val="clear" w:color="auto" w:fill="auto"/>
            <w:noWrap/>
            <w:vAlign w:val="bottom"/>
            <w:hideMark/>
          </w:tcPr>
          <w:p w14:paraId="2C00F315" w14:textId="77777777" w:rsidR="00DE4819" w:rsidRPr="002B2821" w:rsidRDefault="00DE4819" w:rsidP="00DE4819">
            <w:pPr>
              <w:spacing w:after="0" w:line="240" w:lineRule="auto"/>
              <w:jc w:val="center"/>
              <w:rPr>
                <w:rFonts w:ascii="Calibri" w:hAnsi="Calibri" w:cs="Arial"/>
                <w:b/>
                <w:bCs/>
                <w:color w:val="333399"/>
                <w:sz w:val="18"/>
                <w:szCs w:val="18"/>
                <w:lang w:eastAsia="en-GB"/>
              </w:rPr>
            </w:pPr>
          </w:p>
        </w:tc>
        <w:tc>
          <w:tcPr>
            <w:tcW w:w="850" w:type="dxa"/>
            <w:shd w:val="clear" w:color="auto" w:fill="auto"/>
            <w:noWrap/>
            <w:vAlign w:val="bottom"/>
            <w:hideMark/>
          </w:tcPr>
          <w:p w14:paraId="3B7A28F2" w14:textId="77777777" w:rsidR="00DE4819" w:rsidRPr="002B2821" w:rsidRDefault="00DE4819" w:rsidP="00F9539E">
            <w:pPr>
              <w:spacing w:after="0" w:line="240" w:lineRule="auto"/>
              <w:jc w:val="center"/>
              <w:rPr>
                <w:rFonts w:ascii="Calibri" w:hAnsi="Calibri" w:cs="Arial"/>
                <w:b/>
                <w:bCs/>
                <w:color w:val="333399"/>
                <w:sz w:val="18"/>
                <w:szCs w:val="18"/>
                <w:lang w:eastAsia="en-GB"/>
              </w:rPr>
            </w:pPr>
          </w:p>
        </w:tc>
      </w:tr>
      <w:tr w:rsidR="007753E7" w:rsidRPr="002B2821" w14:paraId="50629438" w14:textId="77777777" w:rsidTr="00DE4819">
        <w:trPr>
          <w:trHeight w:val="206"/>
        </w:trPr>
        <w:tc>
          <w:tcPr>
            <w:tcW w:w="261" w:type="dxa"/>
            <w:shd w:val="clear" w:color="auto" w:fill="auto"/>
            <w:noWrap/>
            <w:vAlign w:val="bottom"/>
            <w:hideMark/>
          </w:tcPr>
          <w:p w14:paraId="78F6A748"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297C6FF7"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25E0257B"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230AB5DA" w14:textId="7168A2B5" w:rsidR="007753E7" w:rsidRPr="002B2821" w:rsidRDefault="007753E7" w:rsidP="00DE4819">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Investment</w:t>
            </w:r>
            <w:r w:rsidR="00DE4819">
              <w:rPr>
                <w:rFonts w:ascii="Calibri" w:hAnsi="Calibri" w:cs="Arial"/>
                <w:b/>
                <w:bCs/>
                <w:color w:val="333399"/>
                <w:sz w:val="18"/>
                <w:szCs w:val="18"/>
                <w:lang w:eastAsia="en-GB"/>
              </w:rPr>
              <w:t xml:space="preserve"> </w:t>
            </w:r>
            <w:r w:rsidR="00DE4819" w:rsidRPr="002B2821">
              <w:rPr>
                <w:rFonts w:ascii="Calibri" w:hAnsi="Calibri" w:cs="Arial"/>
                <w:b/>
                <w:bCs/>
                <w:color w:val="333399"/>
                <w:sz w:val="18"/>
                <w:szCs w:val="18"/>
                <w:lang w:eastAsia="en-GB"/>
              </w:rPr>
              <w:t>Management</w:t>
            </w:r>
          </w:p>
        </w:tc>
        <w:tc>
          <w:tcPr>
            <w:tcW w:w="850" w:type="dxa"/>
            <w:gridSpan w:val="2"/>
            <w:shd w:val="clear" w:color="auto" w:fill="auto"/>
            <w:noWrap/>
            <w:vAlign w:val="bottom"/>
            <w:hideMark/>
          </w:tcPr>
          <w:p w14:paraId="52DDD6E8" w14:textId="77777777" w:rsidR="007753E7"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Costs of Grant</w:t>
            </w:r>
          </w:p>
          <w:p w14:paraId="6CEF41B0" w14:textId="238A6257" w:rsidR="00DE4819" w:rsidRPr="002B2821" w:rsidRDefault="00DE4819"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Making</w:t>
            </w:r>
          </w:p>
        </w:tc>
        <w:tc>
          <w:tcPr>
            <w:tcW w:w="1054" w:type="dxa"/>
            <w:tcBorders>
              <w:right w:val="single" w:sz="4" w:space="0" w:color="auto"/>
            </w:tcBorders>
            <w:shd w:val="clear" w:color="auto" w:fill="auto"/>
            <w:noWrap/>
            <w:vAlign w:val="bottom"/>
          </w:tcPr>
          <w:p w14:paraId="31B7E072"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p w14:paraId="70DFD0B5" w14:textId="77777777" w:rsidR="007753E7"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Beneficiary    Support</w:t>
            </w:r>
          </w:p>
          <w:p w14:paraId="762A3147" w14:textId="555692CF" w:rsidR="00DE4819" w:rsidRPr="002B2821" w:rsidRDefault="00DE4819"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Costs</w:t>
            </w:r>
          </w:p>
        </w:tc>
        <w:tc>
          <w:tcPr>
            <w:tcW w:w="1214" w:type="dxa"/>
            <w:tcBorders>
              <w:left w:val="single" w:sz="4" w:space="0" w:color="auto"/>
            </w:tcBorders>
            <w:shd w:val="clear" w:color="auto" w:fill="auto"/>
            <w:noWrap/>
            <w:vAlign w:val="bottom"/>
            <w:hideMark/>
          </w:tcPr>
          <w:p w14:paraId="4BB17604"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 xml:space="preserve">Governance </w:t>
            </w:r>
          </w:p>
        </w:tc>
        <w:tc>
          <w:tcPr>
            <w:tcW w:w="709" w:type="dxa"/>
            <w:shd w:val="clear" w:color="auto" w:fill="auto"/>
            <w:noWrap/>
            <w:vAlign w:val="bottom"/>
            <w:hideMark/>
          </w:tcPr>
          <w:p w14:paraId="123CA654" w14:textId="77777777" w:rsidR="007753E7"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New</w:t>
            </w:r>
          </w:p>
          <w:p w14:paraId="72094FCA" w14:textId="3BC59EBC" w:rsidR="00DE4819" w:rsidRPr="002B2821" w:rsidRDefault="00DE4819"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Claims</w:t>
            </w:r>
          </w:p>
        </w:tc>
        <w:tc>
          <w:tcPr>
            <w:tcW w:w="1134" w:type="dxa"/>
            <w:tcBorders>
              <w:right w:val="single" w:sz="4" w:space="0" w:color="auto"/>
            </w:tcBorders>
            <w:shd w:val="clear" w:color="auto" w:fill="auto"/>
            <w:noWrap/>
            <w:vAlign w:val="bottom"/>
            <w:hideMark/>
          </w:tcPr>
          <w:p w14:paraId="6A46FE81"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Campaigns</w:t>
            </w:r>
          </w:p>
        </w:tc>
        <w:tc>
          <w:tcPr>
            <w:tcW w:w="993" w:type="dxa"/>
            <w:tcBorders>
              <w:left w:val="single" w:sz="4" w:space="0" w:color="auto"/>
            </w:tcBorders>
            <w:shd w:val="clear" w:color="auto" w:fill="auto"/>
            <w:noWrap/>
            <w:vAlign w:val="bottom"/>
            <w:hideMark/>
          </w:tcPr>
          <w:p w14:paraId="409E7A19" w14:textId="46B43036"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Health Grant</w:t>
            </w:r>
            <w:r w:rsidR="00DE4819" w:rsidRPr="002B2821">
              <w:rPr>
                <w:rFonts w:ascii="Calibri" w:hAnsi="Calibri" w:cs="Arial"/>
                <w:b/>
                <w:bCs/>
                <w:color w:val="333399"/>
                <w:sz w:val="18"/>
                <w:szCs w:val="18"/>
                <w:lang w:eastAsia="en-GB"/>
              </w:rPr>
              <w:t xml:space="preserve"> recharged costs</w:t>
            </w:r>
          </w:p>
        </w:tc>
        <w:tc>
          <w:tcPr>
            <w:tcW w:w="850" w:type="dxa"/>
            <w:shd w:val="clear" w:color="auto" w:fill="auto"/>
            <w:noWrap/>
            <w:vAlign w:val="bottom"/>
            <w:hideMark/>
          </w:tcPr>
          <w:p w14:paraId="3B1B8C6A" w14:textId="77777777" w:rsidR="007753E7"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Totals</w:t>
            </w:r>
          </w:p>
          <w:p w14:paraId="1ABEE5C1" w14:textId="2AE68BB0" w:rsidR="00DE4819" w:rsidRPr="002B2821" w:rsidRDefault="00DE4819"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2018</w:t>
            </w:r>
          </w:p>
        </w:tc>
        <w:tc>
          <w:tcPr>
            <w:tcW w:w="992" w:type="dxa"/>
            <w:gridSpan w:val="2"/>
            <w:shd w:val="clear" w:color="auto" w:fill="auto"/>
            <w:noWrap/>
            <w:vAlign w:val="bottom"/>
            <w:hideMark/>
          </w:tcPr>
          <w:p w14:paraId="16985745" w14:textId="77777777" w:rsidR="00DE4819" w:rsidRDefault="007753E7" w:rsidP="00DE4819">
            <w:pPr>
              <w:spacing w:after="0" w:line="240" w:lineRule="auto"/>
              <w:jc w:val="right"/>
              <w:rPr>
                <w:rFonts w:ascii="Calibri" w:hAnsi="Calibri" w:cs="Arial"/>
                <w:color w:val="333399"/>
                <w:sz w:val="18"/>
                <w:szCs w:val="18"/>
                <w:lang w:eastAsia="en-GB"/>
              </w:rPr>
            </w:pPr>
            <w:r w:rsidRPr="002B2821">
              <w:rPr>
                <w:rFonts w:ascii="Calibri" w:hAnsi="Calibri" w:cs="Arial"/>
                <w:color w:val="333399"/>
                <w:sz w:val="18"/>
                <w:szCs w:val="18"/>
                <w:lang w:eastAsia="en-GB"/>
              </w:rPr>
              <w:t>Totals</w:t>
            </w:r>
          </w:p>
          <w:p w14:paraId="0AC6804E" w14:textId="6D58A2D8" w:rsidR="00DE4819" w:rsidRDefault="00DE4819" w:rsidP="00DE4819">
            <w:pPr>
              <w:spacing w:after="0" w:line="240" w:lineRule="auto"/>
              <w:jc w:val="right"/>
              <w:rPr>
                <w:rFonts w:ascii="Calibri" w:hAnsi="Calibri" w:cs="Arial"/>
                <w:color w:val="333399"/>
                <w:sz w:val="18"/>
                <w:szCs w:val="18"/>
                <w:lang w:eastAsia="en-GB"/>
              </w:rPr>
            </w:pPr>
            <w:r w:rsidRPr="002B2821">
              <w:rPr>
                <w:rFonts w:ascii="Calibri" w:hAnsi="Calibri" w:cs="Arial"/>
                <w:color w:val="333399"/>
                <w:sz w:val="18"/>
                <w:szCs w:val="18"/>
                <w:lang w:eastAsia="en-GB"/>
              </w:rPr>
              <w:t>2017</w:t>
            </w:r>
          </w:p>
          <w:p w14:paraId="2880DA55" w14:textId="7C34F498" w:rsidR="007753E7" w:rsidRPr="002B2821" w:rsidRDefault="00DE4819" w:rsidP="00DE4819">
            <w:pPr>
              <w:spacing w:after="0" w:line="240" w:lineRule="auto"/>
              <w:jc w:val="right"/>
              <w:rPr>
                <w:rFonts w:ascii="Calibri" w:hAnsi="Calibri" w:cs="Arial"/>
                <w:color w:val="333399"/>
                <w:sz w:val="18"/>
                <w:szCs w:val="18"/>
                <w:lang w:eastAsia="en-GB"/>
              </w:rPr>
            </w:pPr>
            <w:r w:rsidRPr="002B2821">
              <w:rPr>
                <w:rFonts w:ascii="Calibri" w:hAnsi="Calibri" w:cs="Arial"/>
                <w:color w:val="333399"/>
                <w:sz w:val="16"/>
                <w:szCs w:val="16"/>
                <w:lang w:eastAsia="en-GB"/>
              </w:rPr>
              <w:t>(see below)</w:t>
            </w:r>
          </w:p>
        </w:tc>
        <w:tc>
          <w:tcPr>
            <w:tcW w:w="238" w:type="dxa"/>
            <w:gridSpan w:val="2"/>
            <w:tcBorders>
              <w:left w:val="nil"/>
            </w:tcBorders>
            <w:shd w:val="clear" w:color="auto" w:fill="auto"/>
            <w:noWrap/>
            <w:vAlign w:val="bottom"/>
            <w:hideMark/>
          </w:tcPr>
          <w:p w14:paraId="7244B1B6" w14:textId="77777777" w:rsidR="007753E7" w:rsidRPr="002B2821" w:rsidRDefault="007753E7" w:rsidP="00F9539E">
            <w:pPr>
              <w:spacing w:after="0" w:line="240" w:lineRule="auto"/>
              <w:jc w:val="right"/>
              <w:rPr>
                <w:rFonts w:ascii="Calibri" w:hAnsi="Calibri" w:cs="Arial"/>
                <w:color w:val="333399"/>
                <w:sz w:val="18"/>
                <w:szCs w:val="18"/>
                <w:lang w:eastAsia="en-GB"/>
              </w:rPr>
            </w:pPr>
          </w:p>
        </w:tc>
      </w:tr>
      <w:tr w:rsidR="007753E7" w:rsidRPr="002B2821" w14:paraId="098F442F" w14:textId="77777777" w:rsidTr="00DE4819">
        <w:trPr>
          <w:trHeight w:val="206"/>
        </w:trPr>
        <w:tc>
          <w:tcPr>
            <w:tcW w:w="261" w:type="dxa"/>
            <w:shd w:val="clear" w:color="auto" w:fill="auto"/>
            <w:noWrap/>
            <w:vAlign w:val="bottom"/>
            <w:hideMark/>
          </w:tcPr>
          <w:p w14:paraId="27B1C1F6"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696ABB8D"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3EAA1179"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1D6D3576"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850" w:type="dxa"/>
            <w:gridSpan w:val="2"/>
            <w:shd w:val="clear" w:color="auto" w:fill="auto"/>
            <w:noWrap/>
            <w:vAlign w:val="bottom"/>
            <w:hideMark/>
          </w:tcPr>
          <w:p w14:paraId="01A8B5EE"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054" w:type="dxa"/>
            <w:tcBorders>
              <w:right w:val="single" w:sz="4" w:space="0" w:color="auto"/>
            </w:tcBorders>
            <w:shd w:val="clear" w:color="auto" w:fill="auto"/>
            <w:noWrap/>
            <w:vAlign w:val="bottom"/>
            <w:hideMark/>
          </w:tcPr>
          <w:p w14:paraId="40581891"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214" w:type="dxa"/>
            <w:tcBorders>
              <w:left w:val="single" w:sz="4" w:space="0" w:color="auto"/>
            </w:tcBorders>
            <w:shd w:val="clear" w:color="auto" w:fill="auto"/>
            <w:noWrap/>
            <w:vAlign w:val="bottom"/>
            <w:hideMark/>
          </w:tcPr>
          <w:p w14:paraId="0EB359DB"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709" w:type="dxa"/>
            <w:shd w:val="clear" w:color="auto" w:fill="auto"/>
            <w:noWrap/>
            <w:vAlign w:val="bottom"/>
            <w:hideMark/>
          </w:tcPr>
          <w:p w14:paraId="118AEA12"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134" w:type="dxa"/>
            <w:tcBorders>
              <w:right w:val="single" w:sz="4" w:space="0" w:color="auto"/>
            </w:tcBorders>
            <w:shd w:val="clear" w:color="auto" w:fill="auto"/>
            <w:noWrap/>
            <w:vAlign w:val="bottom"/>
            <w:hideMark/>
          </w:tcPr>
          <w:p w14:paraId="19428145"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993" w:type="dxa"/>
            <w:tcBorders>
              <w:left w:val="single" w:sz="4" w:space="0" w:color="auto"/>
            </w:tcBorders>
            <w:shd w:val="clear" w:color="auto" w:fill="auto"/>
            <w:noWrap/>
            <w:vAlign w:val="bottom"/>
            <w:hideMark/>
          </w:tcPr>
          <w:p w14:paraId="2765E78B"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850" w:type="dxa"/>
            <w:shd w:val="clear" w:color="auto" w:fill="auto"/>
            <w:noWrap/>
            <w:vAlign w:val="bottom"/>
            <w:hideMark/>
          </w:tcPr>
          <w:p w14:paraId="0B70912C"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992" w:type="dxa"/>
            <w:gridSpan w:val="2"/>
            <w:shd w:val="clear" w:color="auto" w:fill="auto"/>
            <w:noWrap/>
            <w:vAlign w:val="bottom"/>
            <w:hideMark/>
          </w:tcPr>
          <w:p w14:paraId="787DF802" w14:textId="77777777" w:rsidR="007753E7" w:rsidRPr="002B2821" w:rsidRDefault="007753E7" w:rsidP="00DE4819">
            <w:pPr>
              <w:spacing w:before="120" w:after="0" w:line="240" w:lineRule="auto"/>
              <w:jc w:val="right"/>
              <w:rPr>
                <w:rFonts w:ascii="Calibri" w:hAnsi="Calibri" w:cs="Arial"/>
                <w:color w:val="333399"/>
                <w:sz w:val="18"/>
                <w:szCs w:val="18"/>
                <w:lang w:eastAsia="en-GB"/>
              </w:rPr>
            </w:pPr>
            <w:r w:rsidRPr="002B2821">
              <w:rPr>
                <w:rFonts w:ascii="Calibri" w:hAnsi="Calibri" w:cs="Arial"/>
                <w:color w:val="333399"/>
                <w:sz w:val="18"/>
                <w:szCs w:val="18"/>
                <w:lang w:eastAsia="en-GB"/>
              </w:rPr>
              <w:t>£000s</w:t>
            </w:r>
          </w:p>
        </w:tc>
        <w:tc>
          <w:tcPr>
            <w:tcW w:w="238" w:type="dxa"/>
            <w:gridSpan w:val="2"/>
            <w:tcBorders>
              <w:left w:val="nil"/>
            </w:tcBorders>
            <w:shd w:val="clear" w:color="auto" w:fill="auto"/>
            <w:noWrap/>
            <w:vAlign w:val="bottom"/>
            <w:hideMark/>
          </w:tcPr>
          <w:p w14:paraId="13A05951" w14:textId="77777777" w:rsidR="007753E7" w:rsidRPr="002B2821" w:rsidRDefault="007753E7" w:rsidP="00F9539E">
            <w:pPr>
              <w:spacing w:after="0" w:line="240" w:lineRule="auto"/>
              <w:jc w:val="right"/>
              <w:rPr>
                <w:rFonts w:ascii="Calibri" w:hAnsi="Calibri" w:cs="Arial"/>
                <w:color w:val="333399"/>
                <w:sz w:val="18"/>
                <w:szCs w:val="18"/>
                <w:lang w:eastAsia="en-GB"/>
              </w:rPr>
            </w:pPr>
          </w:p>
        </w:tc>
      </w:tr>
      <w:tr w:rsidR="007753E7" w:rsidRPr="002B2821" w14:paraId="325CCD98" w14:textId="77777777" w:rsidTr="00DE4819">
        <w:trPr>
          <w:trHeight w:val="352"/>
        </w:trPr>
        <w:tc>
          <w:tcPr>
            <w:tcW w:w="261" w:type="dxa"/>
            <w:shd w:val="clear" w:color="auto" w:fill="auto"/>
            <w:noWrap/>
            <w:vAlign w:val="bottom"/>
            <w:hideMark/>
          </w:tcPr>
          <w:p w14:paraId="583764B0"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601E94D1"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Staff and other HR Costs</w:t>
            </w:r>
          </w:p>
        </w:tc>
        <w:tc>
          <w:tcPr>
            <w:tcW w:w="1276" w:type="dxa"/>
            <w:shd w:val="clear" w:color="auto" w:fill="auto"/>
            <w:noWrap/>
            <w:vAlign w:val="bottom"/>
            <w:hideMark/>
          </w:tcPr>
          <w:p w14:paraId="104010D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14</w:t>
            </w:r>
          </w:p>
        </w:tc>
        <w:tc>
          <w:tcPr>
            <w:tcW w:w="850" w:type="dxa"/>
            <w:gridSpan w:val="2"/>
            <w:shd w:val="clear" w:color="auto" w:fill="auto"/>
            <w:noWrap/>
            <w:vAlign w:val="bottom"/>
            <w:hideMark/>
          </w:tcPr>
          <w:p w14:paraId="04D1AAD9"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35</w:t>
            </w:r>
          </w:p>
        </w:tc>
        <w:tc>
          <w:tcPr>
            <w:tcW w:w="1054" w:type="dxa"/>
            <w:tcBorders>
              <w:right w:val="single" w:sz="4" w:space="0" w:color="auto"/>
            </w:tcBorders>
            <w:shd w:val="clear" w:color="auto" w:fill="auto"/>
            <w:noWrap/>
            <w:vAlign w:val="bottom"/>
            <w:hideMark/>
          </w:tcPr>
          <w:p w14:paraId="7A93EB8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382</w:t>
            </w:r>
          </w:p>
        </w:tc>
        <w:tc>
          <w:tcPr>
            <w:tcW w:w="1214" w:type="dxa"/>
            <w:tcBorders>
              <w:left w:val="single" w:sz="4" w:space="0" w:color="auto"/>
            </w:tcBorders>
            <w:shd w:val="clear" w:color="auto" w:fill="auto"/>
            <w:noWrap/>
            <w:vAlign w:val="bottom"/>
            <w:hideMark/>
          </w:tcPr>
          <w:p w14:paraId="17C033DA"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35</w:t>
            </w:r>
          </w:p>
        </w:tc>
        <w:tc>
          <w:tcPr>
            <w:tcW w:w="709" w:type="dxa"/>
            <w:shd w:val="clear" w:color="auto" w:fill="auto"/>
            <w:noWrap/>
            <w:vAlign w:val="bottom"/>
            <w:hideMark/>
          </w:tcPr>
          <w:p w14:paraId="4391EB8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36</w:t>
            </w:r>
          </w:p>
        </w:tc>
        <w:tc>
          <w:tcPr>
            <w:tcW w:w="1134" w:type="dxa"/>
            <w:tcBorders>
              <w:right w:val="single" w:sz="4" w:space="0" w:color="auto"/>
            </w:tcBorders>
            <w:shd w:val="clear" w:color="auto" w:fill="auto"/>
            <w:noWrap/>
            <w:vAlign w:val="bottom"/>
            <w:hideMark/>
          </w:tcPr>
          <w:p w14:paraId="5004FF1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7</w:t>
            </w:r>
          </w:p>
        </w:tc>
        <w:tc>
          <w:tcPr>
            <w:tcW w:w="993" w:type="dxa"/>
            <w:tcBorders>
              <w:left w:val="single" w:sz="4" w:space="0" w:color="auto"/>
            </w:tcBorders>
            <w:shd w:val="clear" w:color="auto" w:fill="auto"/>
            <w:noWrap/>
            <w:vAlign w:val="bottom"/>
            <w:hideMark/>
          </w:tcPr>
          <w:p w14:paraId="6ABA206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246</w:t>
            </w:r>
          </w:p>
        </w:tc>
        <w:tc>
          <w:tcPr>
            <w:tcW w:w="850" w:type="dxa"/>
            <w:shd w:val="clear" w:color="auto" w:fill="auto"/>
            <w:noWrap/>
            <w:vAlign w:val="bottom"/>
            <w:hideMark/>
          </w:tcPr>
          <w:p w14:paraId="017987C8"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755</w:t>
            </w:r>
          </w:p>
        </w:tc>
        <w:tc>
          <w:tcPr>
            <w:tcW w:w="992" w:type="dxa"/>
            <w:gridSpan w:val="2"/>
            <w:shd w:val="clear" w:color="auto" w:fill="auto"/>
            <w:noWrap/>
            <w:vAlign w:val="bottom"/>
            <w:hideMark/>
          </w:tcPr>
          <w:p w14:paraId="2E5AA2E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606</w:t>
            </w:r>
          </w:p>
        </w:tc>
        <w:tc>
          <w:tcPr>
            <w:tcW w:w="238" w:type="dxa"/>
            <w:gridSpan w:val="2"/>
            <w:shd w:val="clear" w:color="auto" w:fill="auto"/>
            <w:noWrap/>
            <w:vAlign w:val="bottom"/>
            <w:hideMark/>
          </w:tcPr>
          <w:p w14:paraId="662847F1"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54571123" w14:textId="77777777" w:rsidTr="00DE4819">
        <w:trPr>
          <w:trHeight w:val="482"/>
        </w:trPr>
        <w:tc>
          <w:tcPr>
            <w:tcW w:w="261" w:type="dxa"/>
            <w:shd w:val="clear" w:color="auto" w:fill="auto"/>
            <w:noWrap/>
            <w:vAlign w:val="bottom"/>
            <w:hideMark/>
          </w:tcPr>
          <w:p w14:paraId="2D4804B4"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3EE947FB"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Administration and Running Costs</w:t>
            </w:r>
          </w:p>
        </w:tc>
        <w:tc>
          <w:tcPr>
            <w:tcW w:w="1276" w:type="dxa"/>
            <w:shd w:val="clear" w:color="auto" w:fill="auto"/>
            <w:noWrap/>
            <w:vAlign w:val="bottom"/>
            <w:hideMark/>
          </w:tcPr>
          <w:p w14:paraId="167B32D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6</w:t>
            </w:r>
          </w:p>
        </w:tc>
        <w:tc>
          <w:tcPr>
            <w:tcW w:w="850" w:type="dxa"/>
            <w:gridSpan w:val="2"/>
            <w:shd w:val="clear" w:color="auto" w:fill="auto"/>
            <w:noWrap/>
            <w:vAlign w:val="bottom"/>
            <w:hideMark/>
          </w:tcPr>
          <w:p w14:paraId="0F592C1C"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43</w:t>
            </w:r>
          </w:p>
        </w:tc>
        <w:tc>
          <w:tcPr>
            <w:tcW w:w="1054" w:type="dxa"/>
            <w:tcBorders>
              <w:right w:val="single" w:sz="4" w:space="0" w:color="auto"/>
            </w:tcBorders>
            <w:shd w:val="clear" w:color="auto" w:fill="auto"/>
            <w:noWrap/>
            <w:vAlign w:val="bottom"/>
            <w:hideMark/>
          </w:tcPr>
          <w:p w14:paraId="6AFDD9C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127</w:t>
            </w:r>
          </w:p>
        </w:tc>
        <w:tc>
          <w:tcPr>
            <w:tcW w:w="1214" w:type="dxa"/>
            <w:tcBorders>
              <w:left w:val="single" w:sz="4" w:space="0" w:color="auto"/>
            </w:tcBorders>
            <w:shd w:val="clear" w:color="auto" w:fill="auto"/>
            <w:noWrap/>
            <w:vAlign w:val="bottom"/>
            <w:hideMark/>
          </w:tcPr>
          <w:p w14:paraId="27989C8F"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15</w:t>
            </w:r>
          </w:p>
        </w:tc>
        <w:tc>
          <w:tcPr>
            <w:tcW w:w="709" w:type="dxa"/>
            <w:shd w:val="clear" w:color="auto" w:fill="auto"/>
            <w:noWrap/>
            <w:vAlign w:val="bottom"/>
            <w:hideMark/>
          </w:tcPr>
          <w:p w14:paraId="24BAD7C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w:t>
            </w:r>
          </w:p>
        </w:tc>
        <w:tc>
          <w:tcPr>
            <w:tcW w:w="1134" w:type="dxa"/>
            <w:tcBorders>
              <w:right w:val="single" w:sz="4" w:space="0" w:color="auto"/>
            </w:tcBorders>
            <w:shd w:val="clear" w:color="auto" w:fill="auto"/>
            <w:noWrap/>
            <w:vAlign w:val="bottom"/>
            <w:hideMark/>
          </w:tcPr>
          <w:p w14:paraId="2EF44E6D"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993" w:type="dxa"/>
            <w:tcBorders>
              <w:left w:val="single" w:sz="4" w:space="0" w:color="auto"/>
            </w:tcBorders>
            <w:shd w:val="clear" w:color="auto" w:fill="auto"/>
            <w:noWrap/>
            <w:vAlign w:val="bottom"/>
            <w:hideMark/>
          </w:tcPr>
          <w:p w14:paraId="6D71655D"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69</w:t>
            </w:r>
          </w:p>
        </w:tc>
        <w:tc>
          <w:tcPr>
            <w:tcW w:w="850" w:type="dxa"/>
            <w:shd w:val="clear" w:color="auto" w:fill="auto"/>
            <w:noWrap/>
            <w:vAlign w:val="bottom"/>
            <w:hideMark/>
          </w:tcPr>
          <w:p w14:paraId="324AA2B6"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263</w:t>
            </w:r>
          </w:p>
        </w:tc>
        <w:tc>
          <w:tcPr>
            <w:tcW w:w="992" w:type="dxa"/>
            <w:gridSpan w:val="2"/>
            <w:shd w:val="clear" w:color="auto" w:fill="auto"/>
            <w:noWrap/>
            <w:vAlign w:val="bottom"/>
            <w:hideMark/>
          </w:tcPr>
          <w:p w14:paraId="7450F8C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277</w:t>
            </w:r>
          </w:p>
        </w:tc>
        <w:tc>
          <w:tcPr>
            <w:tcW w:w="238" w:type="dxa"/>
            <w:gridSpan w:val="2"/>
            <w:shd w:val="clear" w:color="auto" w:fill="auto"/>
            <w:noWrap/>
            <w:vAlign w:val="bottom"/>
            <w:hideMark/>
          </w:tcPr>
          <w:p w14:paraId="6163FFBE"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473EC0EF" w14:textId="77777777" w:rsidTr="00DE4819">
        <w:trPr>
          <w:trHeight w:val="413"/>
        </w:trPr>
        <w:tc>
          <w:tcPr>
            <w:tcW w:w="261" w:type="dxa"/>
            <w:shd w:val="clear" w:color="auto" w:fill="auto"/>
            <w:noWrap/>
            <w:vAlign w:val="bottom"/>
            <w:hideMark/>
          </w:tcPr>
          <w:p w14:paraId="2B3941E2"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4EA15098"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Investment Management Fees</w:t>
            </w:r>
          </w:p>
        </w:tc>
        <w:tc>
          <w:tcPr>
            <w:tcW w:w="1276" w:type="dxa"/>
            <w:shd w:val="clear" w:color="auto" w:fill="auto"/>
            <w:noWrap/>
            <w:vAlign w:val="bottom"/>
            <w:hideMark/>
          </w:tcPr>
          <w:p w14:paraId="1D9DBABA"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263</w:t>
            </w:r>
          </w:p>
        </w:tc>
        <w:tc>
          <w:tcPr>
            <w:tcW w:w="850" w:type="dxa"/>
            <w:gridSpan w:val="2"/>
            <w:shd w:val="clear" w:color="auto" w:fill="auto"/>
            <w:noWrap/>
            <w:vAlign w:val="bottom"/>
            <w:hideMark/>
          </w:tcPr>
          <w:p w14:paraId="47112D7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auto"/>
            </w:tcBorders>
            <w:shd w:val="clear" w:color="auto" w:fill="auto"/>
            <w:noWrap/>
            <w:vAlign w:val="bottom"/>
            <w:hideMark/>
          </w:tcPr>
          <w:p w14:paraId="7909008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214" w:type="dxa"/>
            <w:tcBorders>
              <w:left w:val="single" w:sz="4" w:space="0" w:color="auto"/>
            </w:tcBorders>
            <w:shd w:val="clear" w:color="auto" w:fill="auto"/>
            <w:noWrap/>
            <w:vAlign w:val="bottom"/>
            <w:hideMark/>
          </w:tcPr>
          <w:p w14:paraId="6966D30C"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709" w:type="dxa"/>
            <w:shd w:val="clear" w:color="auto" w:fill="auto"/>
            <w:noWrap/>
            <w:vAlign w:val="bottom"/>
            <w:hideMark/>
          </w:tcPr>
          <w:p w14:paraId="28BB6B9F"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134" w:type="dxa"/>
            <w:tcBorders>
              <w:right w:val="single" w:sz="4" w:space="0" w:color="auto"/>
            </w:tcBorders>
            <w:shd w:val="clear" w:color="auto" w:fill="auto"/>
            <w:noWrap/>
            <w:vAlign w:val="bottom"/>
            <w:hideMark/>
          </w:tcPr>
          <w:p w14:paraId="391C7AB2"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993" w:type="dxa"/>
            <w:tcBorders>
              <w:left w:val="single" w:sz="4" w:space="0" w:color="auto"/>
            </w:tcBorders>
            <w:shd w:val="clear" w:color="auto" w:fill="auto"/>
            <w:noWrap/>
            <w:vAlign w:val="bottom"/>
            <w:hideMark/>
          </w:tcPr>
          <w:p w14:paraId="149BC08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shd w:val="clear" w:color="auto" w:fill="auto"/>
            <w:noWrap/>
            <w:vAlign w:val="bottom"/>
            <w:hideMark/>
          </w:tcPr>
          <w:p w14:paraId="3635C7EC"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263</w:t>
            </w:r>
          </w:p>
        </w:tc>
        <w:tc>
          <w:tcPr>
            <w:tcW w:w="992" w:type="dxa"/>
            <w:gridSpan w:val="2"/>
            <w:shd w:val="clear" w:color="auto" w:fill="auto"/>
            <w:noWrap/>
            <w:vAlign w:val="bottom"/>
            <w:hideMark/>
          </w:tcPr>
          <w:p w14:paraId="48436A2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350</w:t>
            </w:r>
          </w:p>
        </w:tc>
        <w:tc>
          <w:tcPr>
            <w:tcW w:w="238" w:type="dxa"/>
            <w:gridSpan w:val="2"/>
            <w:shd w:val="clear" w:color="auto" w:fill="auto"/>
            <w:noWrap/>
            <w:vAlign w:val="bottom"/>
            <w:hideMark/>
          </w:tcPr>
          <w:p w14:paraId="5D4BFD3C"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5133B6F0" w14:textId="77777777" w:rsidTr="00DE4819">
        <w:trPr>
          <w:trHeight w:val="454"/>
        </w:trPr>
        <w:tc>
          <w:tcPr>
            <w:tcW w:w="261" w:type="dxa"/>
            <w:shd w:val="clear" w:color="auto" w:fill="auto"/>
            <w:noWrap/>
            <w:vAlign w:val="bottom"/>
            <w:hideMark/>
          </w:tcPr>
          <w:p w14:paraId="4D7C7E5E"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3C08CB6B"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Legal, Professional and Audit fees</w:t>
            </w:r>
          </w:p>
        </w:tc>
        <w:tc>
          <w:tcPr>
            <w:tcW w:w="1276" w:type="dxa"/>
            <w:shd w:val="clear" w:color="auto" w:fill="auto"/>
            <w:noWrap/>
            <w:vAlign w:val="bottom"/>
            <w:hideMark/>
          </w:tcPr>
          <w:p w14:paraId="3870979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5274863F"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8</w:t>
            </w:r>
          </w:p>
        </w:tc>
        <w:tc>
          <w:tcPr>
            <w:tcW w:w="1054" w:type="dxa"/>
            <w:tcBorders>
              <w:right w:val="single" w:sz="4" w:space="0" w:color="auto"/>
            </w:tcBorders>
            <w:shd w:val="clear" w:color="auto" w:fill="auto"/>
            <w:noWrap/>
            <w:vAlign w:val="bottom"/>
            <w:hideMark/>
          </w:tcPr>
          <w:p w14:paraId="5B4F0B8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13</w:t>
            </w:r>
          </w:p>
        </w:tc>
        <w:tc>
          <w:tcPr>
            <w:tcW w:w="1214" w:type="dxa"/>
            <w:tcBorders>
              <w:left w:val="single" w:sz="4" w:space="0" w:color="auto"/>
            </w:tcBorders>
            <w:shd w:val="clear" w:color="auto" w:fill="auto"/>
            <w:noWrap/>
            <w:vAlign w:val="bottom"/>
            <w:hideMark/>
          </w:tcPr>
          <w:p w14:paraId="027A48C9"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19</w:t>
            </w:r>
          </w:p>
        </w:tc>
        <w:tc>
          <w:tcPr>
            <w:tcW w:w="709" w:type="dxa"/>
            <w:shd w:val="clear" w:color="auto" w:fill="auto"/>
            <w:noWrap/>
            <w:vAlign w:val="bottom"/>
            <w:hideMark/>
          </w:tcPr>
          <w:p w14:paraId="2846FB79"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15</w:t>
            </w:r>
          </w:p>
        </w:tc>
        <w:tc>
          <w:tcPr>
            <w:tcW w:w="1134" w:type="dxa"/>
            <w:tcBorders>
              <w:right w:val="single" w:sz="4" w:space="0" w:color="auto"/>
            </w:tcBorders>
            <w:shd w:val="clear" w:color="auto" w:fill="auto"/>
            <w:noWrap/>
            <w:vAlign w:val="bottom"/>
            <w:hideMark/>
          </w:tcPr>
          <w:p w14:paraId="462A0A2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993" w:type="dxa"/>
            <w:tcBorders>
              <w:left w:val="single" w:sz="4" w:space="0" w:color="auto"/>
            </w:tcBorders>
            <w:shd w:val="clear" w:color="auto" w:fill="auto"/>
            <w:noWrap/>
            <w:vAlign w:val="bottom"/>
            <w:hideMark/>
          </w:tcPr>
          <w:p w14:paraId="55D3752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14</w:t>
            </w:r>
          </w:p>
        </w:tc>
        <w:tc>
          <w:tcPr>
            <w:tcW w:w="850" w:type="dxa"/>
            <w:shd w:val="clear" w:color="auto" w:fill="auto"/>
            <w:noWrap/>
            <w:vAlign w:val="bottom"/>
            <w:hideMark/>
          </w:tcPr>
          <w:p w14:paraId="2C42E304"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69</w:t>
            </w:r>
          </w:p>
        </w:tc>
        <w:tc>
          <w:tcPr>
            <w:tcW w:w="992" w:type="dxa"/>
            <w:gridSpan w:val="2"/>
            <w:shd w:val="clear" w:color="auto" w:fill="auto"/>
            <w:noWrap/>
            <w:vAlign w:val="bottom"/>
            <w:hideMark/>
          </w:tcPr>
          <w:p w14:paraId="1D0BD59D"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99</w:t>
            </w:r>
          </w:p>
        </w:tc>
        <w:tc>
          <w:tcPr>
            <w:tcW w:w="238" w:type="dxa"/>
            <w:gridSpan w:val="2"/>
            <w:shd w:val="clear" w:color="auto" w:fill="auto"/>
            <w:noWrap/>
            <w:vAlign w:val="bottom"/>
            <w:hideMark/>
          </w:tcPr>
          <w:p w14:paraId="6A0EB49C"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7838B09E" w14:textId="77777777" w:rsidTr="00DE4819">
        <w:trPr>
          <w:trHeight w:val="352"/>
        </w:trPr>
        <w:tc>
          <w:tcPr>
            <w:tcW w:w="261" w:type="dxa"/>
            <w:shd w:val="clear" w:color="auto" w:fill="auto"/>
            <w:noWrap/>
            <w:vAlign w:val="bottom"/>
            <w:hideMark/>
          </w:tcPr>
          <w:p w14:paraId="47FDEF1A"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73CA9115"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National Advisory Council</w:t>
            </w:r>
          </w:p>
        </w:tc>
        <w:tc>
          <w:tcPr>
            <w:tcW w:w="1276" w:type="dxa"/>
            <w:shd w:val="clear" w:color="auto" w:fill="auto"/>
            <w:noWrap/>
            <w:vAlign w:val="bottom"/>
            <w:hideMark/>
          </w:tcPr>
          <w:p w14:paraId="3D2CCE43"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7AF1AF1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auto"/>
            </w:tcBorders>
            <w:shd w:val="clear" w:color="auto" w:fill="auto"/>
            <w:noWrap/>
            <w:vAlign w:val="bottom"/>
            <w:hideMark/>
          </w:tcPr>
          <w:p w14:paraId="24D6DB8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w:t>
            </w:r>
          </w:p>
        </w:tc>
        <w:tc>
          <w:tcPr>
            <w:tcW w:w="1214" w:type="dxa"/>
            <w:tcBorders>
              <w:left w:val="single" w:sz="4" w:space="0" w:color="auto"/>
            </w:tcBorders>
            <w:shd w:val="clear" w:color="auto" w:fill="auto"/>
            <w:noWrap/>
            <w:vAlign w:val="bottom"/>
            <w:hideMark/>
          </w:tcPr>
          <w:p w14:paraId="61B07952"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13</w:t>
            </w:r>
          </w:p>
        </w:tc>
        <w:tc>
          <w:tcPr>
            <w:tcW w:w="709" w:type="dxa"/>
            <w:shd w:val="clear" w:color="auto" w:fill="auto"/>
            <w:noWrap/>
            <w:vAlign w:val="bottom"/>
            <w:hideMark/>
          </w:tcPr>
          <w:p w14:paraId="4A2B303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134" w:type="dxa"/>
            <w:tcBorders>
              <w:right w:val="single" w:sz="4" w:space="0" w:color="auto"/>
            </w:tcBorders>
            <w:shd w:val="clear" w:color="auto" w:fill="auto"/>
            <w:noWrap/>
            <w:vAlign w:val="bottom"/>
            <w:hideMark/>
          </w:tcPr>
          <w:p w14:paraId="75E6216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993" w:type="dxa"/>
            <w:tcBorders>
              <w:left w:val="single" w:sz="4" w:space="0" w:color="auto"/>
            </w:tcBorders>
            <w:shd w:val="clear" w:color="auto" w:fill="auto"/>
            <w:noWrap/>
            <w:vAlign w:val="bottom"/>
            <w:hideMark/>
          </w:tcPr>
          <w:p w14:paraId="189D0BD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shd w:val="clear" w:color="auto" w:fill="auto"/>
            <w:noWrap/>
            <w:vAlign w:val="bottom"/>
            <w:hideMark/>
          </w:tcPr>
          <w:p w14:paraId="5BDC2E9D"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16</w:t>
            </w:r>
          </w:p>
        </w:tc>
        <w:tc>
          <w:tcPr>
            <w:tcW w:w="992" w:type="dxa"/>
            <w:gridSpan w:val="2"/>
            <w:shd w:val="clear" w:color="auto" w:fill="auto"/>
            <w:noWrap/>
            <w:vAlign w:val="bottom"/>
            <w:hideMark/>
          </w:tcPr>
          <w:p w14:paraId="28F5326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41</w:t>
            </w:r>
          </w:p>
        </w:tc>
        <w:tc>
          <w:tcPr>
            <w:tcW w:w="238" w:type="dxa"/>
            <w:gridSpan w:val="2"/>
            <w:shd w:val="clear" w:color="auto" w:fill="auto"/>
            <w:noWrap/>
            <w:vAlign w:val="bottom"/>
            <w:hideMark/>
          </w:tcPr>
          <w:p w14:paraId="619A5195"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5304DE36" w14:textId="77777777" w:rsidTr="00DE4819">
        <w:trPr>
          <w:trHeight w:val="352"/>
        </w:trPr>
        <w:tc>
          <w:tcPr>
            <w:tcW w:w="261" w:type="dxa"/>
            <w:shd w:val="clear" w:color="auto" w:fill="auto"/>
            <w:noWrap/>
            <w:vAlign w:val="bottom"/>
            <w:hideMark/>
          </w:tcPr>
          <w:p w14:paraId="31DCA864"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7934DC11"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Campaigning Costs</w:t>
            </w:r>
          </w:p>
        </w:tc>
        <w:tc>
          <w:tcPr>
            <w:tcW w:w="1276" w:type="dxa"/>
            <w:shd w:val="clear" w:color="auto" w:fill="auto"/>
            <w:noWrap/>
            <w:vAlign w:val="bottom"/>
            <w:hideMark/>
          </w:tcPr>
          <w:p w14:paraId="7BEB6CE9"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11BE26DA"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auto"/>
            </w:tcBorders>
            <w:shd w:val="clear" w:color="auto" w:fill="auto"/>
            <w:noWrap/>
            <w:vAlign w:val="bottom"/>
            <w:hideMark/>
          </w:tcPr>
          <w:p w14:paraId="46E5249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214" w:type="dxa"/>
            <w:tcBorders>
              <w:left w:val="single" w:sz="4" w:space="0" w:color="auto"/>
            </w:tcBorders>
            <w:shd w:val="clear" w:color="auto" w:fill="auto"/>
            <w:noWrap/>
            <w:vAlign w:val="bottom"/>
            <w:hideMark/>
          </w:tcPr>
          <w:p w14:paraId="5FB9221F"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709" w:type="dxa"/>
            <w:shd w:val="clear" w:color="auto" w:fill="auto"/>
            <w:noWrap/>
            <w:vAlign w:val="bottom"/>
            <w:hideMark/>
          </w:tcPr>
          <w:p w14:paraId="5C5EEFBA"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134" w:type="dxa"/>
            <w:tcBorders>
              <w:right w:val="single" w:sz="4" w:space="0" w:color="auto"/>
            </w:tcBorders>
            <w:shd w:val="clear" w:color="auto" w:fill="auto"/>
            <w:noWrap/>
            <w:vAlign w:val="bottom"/>
            <w:hideMark/>
          </w:tcPr>
          <w:p w14:paraId="411FA51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56</w:t>
            </w:r>
          </w:p>
        </w:tc>
        <w:tc>
          <w:tcPr>
            <w:tcW w:w="993" w:type="dxa"/>
            <w:tcBorders>
              <w:left w:val="single" w:sz="4" w:space="0" w:color="auto"/>
            </w:tcBorders>
            <w:shd w:val="clear" w:color="auto" w:fill="auto"/>
            <w:noWrap/>
            <w:vAlign w:val="bottom"/>
            <w:hideMark/>
          </w:tcPr>
          <w:p w14:paraId="760C1F4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shd w:val="clear" w:color="auto" w:fill="auto"/>
            <w:noWrap/>
            <w:vAlign w:val="bottom"/>
            <w:hideMark/>
          </w:tcPr>
          <w:p w14:paraId="4A186658"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56</w:t>
            </w:r>
          </w:p>
        </w:tc>
        <w:tc>
          <w:tcPr>
            <w:tcW w:w="992" w:type="dxa"/>
            <w:gridSpan w:val="2"/>
            <w:shd w:val="clear" w:color="auto" w:fill="auto"/>
            <w:noWrap/>
            <w:vAlign w:val="bottom"/>
            <w:hideMark/>
          </w:tcPr>
          <w:p w14:paraId="251B1483"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46</w:t>
            </w:r>
          </w:p>
        </w:tc>
        <w:tc>
          <w:tcPr>
            <w:tcW w:w="238" w:type="dxa"/>
            <w:gridSpan w:val="2"/>
            <w:shd w:val="clear" w:color="auto" w:fill="auto"/>
            <w:noWrap/>
            <w:vAlign w:val="bottom"/>
            <w:hideMark/>
          </w:tcPr>
          <w:p w14:paraId="1AEEB790"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74D66B1C" w14:textId="77777777" w:rsidTr="00DE4819">
        <w:trPr>
          <w:trHeight w:val="352"/>
        </w:trPr>
        <w:tc>
          <w:tcPr>
            <w:tcW w:w="261" w:type="dxa"/>
            <w:shd w:val="clear" w:color="auto" w:fill="auto"/>
            <w:noWrap/>
            <w:vAlign w:val="bottom"/>
            <w:hideMark/>
          </w:tcPr>
          <w:p w14:paraId="7CCDA1B8"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hideMark/>
          </w:tcPr>
          <w:p w14:paraId="77C20374"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Research &amp; Development</w:t>
            </w:r>
          </w:p>
        </w:tc>
        <w:tc>
          <w:tcPr>
            <w:tcW w:w="1276" w:type="dxa"/>
            <w:shd w:val="clear" w:color="auto" w:fill="auto"/>
            <w:noWrap/>
            <w:vAlign w:val="bottom"/>
            <w:hideMark/>
          </w:tcPr>
          <w:p w14:paraId="690B83D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79CD649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auto"/>
            </w:tcBorders>
            <w:shd w:val="clear" w:color="auto" w:fill="auto"/>
            <w:noWrap/>
            <w:vAlign w:val="bottom"/>
            <w:hideMark/>
          </w:tcPr>
          <w:p w14:paraId="5799938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(9)</w:t>
            </w:r>
          </w:p>
        </w:tc>
        <w:tc>
          <w:tcPr>
            <w:tcW w:w="1214" w:type="dxa"/>
            <w:tcBorders>
              <w:left w:val="single" w:sz="4" w:space="0" w:color="auto"/>
            </w:tcBorders>
            <w:shd w:val="clear" w:color="auto" w:fill="auto"/>
            <w:noWrap/>
            <w:vAlign w:val="bottom"/>
            <w:hideMark/>
          </w:tcPr>
          <w:p w14:paraId="39BDA0BF"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709" w:type="dxa"/>
            <w:shd w:val="clear" w:color="auto" w:fill="auto"/>
            <w:noWrap/>
            <w:vAlign w:val="bottom"/>
            <w:hideMark/>
          </w:tcPr>
          <w:p w14:paraId="3ACC9F2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134" w:type="dxa"/>
            <w:tcBorders>
              <w:right w:val="single" w:sz="4" w:space="0" w:color="auto"/>
            </w:tcBorders>
            <w:shd w:val="clear" w:color="auto" w:fill="auto"/>
            <w:noWrap/>
            <w:vAlign w:val="bottom"/>
            <w:hideMark/>
          </w:tcPr>
          <w:p w14:paraId="57022D8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993" w:type="dxa"/>
            <w:tcBorders>
              <w:left w:val="single" w:sz="4" w:space="0" w:color="auto"/>
            </w:tcBorders>
            <w:shd w:val="clear" w:color="auto" w:fill="auto"/>
            <w:noWrap/>
            <w:vAlign w:val="bottom"/>
            <w:hideMark/>
          </w:tcPr>
          <w:p w14:paraId="09995AC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shd w:val="clear" w:color="auto" w:fill="auto"/>
            <w:noWrap/>
            <w:vAlign w:val="bottom"/>
            <w:hideMark/>
          </w:tcPr>
          <w:p w14:paraId="5B3C49C0"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(9)</w:t>
            </w:r>
          </w:p>
        </w:tc>
        <w:tc>
          <w:tcPr>
            <w:tcW w:w="992" w:type="dxa"/>
            <w:gridSpan w:val="2"/>
            <w:shd w:val="clear" w:color="auto" w:fill="auto"/>
            <w:noWrap/>
            <w:vAlign w:val="bottom"/>
            <w:hideMark/>
          </w:tcPr>
          <w:p w14:paraId="32E63333"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62</w:t>
            </w:r>
          </w:p>
        </w:tc>
        <w:tc>
          <w:tcPr>
            <w:tcW w:w="238" w:type="dxa"/>
            <w:gridSpan w:val="2"/>
            <w:shd w:val="clear" w:color="auto" w:fill="auto"/>
            <w:noWrap/>
            <w:vAlign w:val="bottom"/>
            <w:hideMark/>
          </w:tcPr>
          <w:p w14:paraId="44470D4F"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47C3EF4B" w14:textId="77777777" w:rsidTr="00DE4819">
        <w:trPr>
          <w:trHeight w:val="158"/>
        </w:trPr>
        <w:tc>
          <w:tcPr>
            <w:tcW w:w="261" w:type="dxa"/>
            <w:shd w:val="clear" w:color="auto" w:fill="auto"/>
            <w:noWrap/>
            <w:vAlign w:val="bottom"/>
            <w:hideMark/>
          </w:tcPr>
          <w:p w14:paraId="60D80216"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59D4FC01"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5AD48F6C" w14:textId="77777777" w:rsidR="007753E7" w:rsidRPr="002B2821" w:rsidRDefault="007753E7" w:rsidP="00F9539E">
            <w:pPr>
              <w:spacing w:after="0" w:line="240" w:lineRule="auto"/>
              <w:rPr>
                <w:lang w:eastAsia="en-GB"/>
              </w:rPr>
            </w:pPr>
          </w:p>
        </w:tc>
        <w:tc>
          <w:tcPr>
            <w:tcW w:w="1276" w:type="dxa"/>
            <w:tcBorders>
              <w:bottom w:val="single" w:sz="4" w:space="0" w:color="3C3C3C"/>
            </w:tcBorders>
            <w:shd w:val="clear" w:color="auto" w:fill="auto"/>
            <w:noWrap/>
            <w:vAlign w:val="bottom"/>
            <w:hideMark/>
          </w:tcPr>
          <w:p w14:paraId="278F1301" w14:textId="77777777" w:rsidR="007753E7" w:rsidRPr="002B2821" w:rsidRDefault="007753E7" w:rsidP="00F9539E">
            <w:pPr>
              <w:spacing w:after="0" w:line="240" w:lineRule="auto"/>
              <w:rPr>
                <w:lang w:eastAsia="en-GB"/>
              </w:rPr>
            </w:pPr>
          </w:p>
        </w:tc>
        <w:tc>
          <w:tcPr>
            <w:tcW w:w="850" w:type="dxa"/>
            <w:gridSpan w:val="2"/>
            <w:tcBorders>
              <w:bottom w:val="single" w:sz="4" w:space="0" w:color="3C3C3C"/>
            </w:tcBorders>
            <w:shd w:val="clear" w:color="auto" w:fill="auto"/>
            <w:noWrap/>
            <w:vAlign w:val="bottom"/>
            <w:hideMark/>
          </w:tcPr>
          <w:p w14:paraId="36D8CF00" w14:textId="77777777" w:rsidR="007753E7" w:rsidRPr="002B2821" w:rsidRDefault="007753E7" w:rsidP="00F9539E">
            <w:pPr>
              <w:spacing w:after="0" w:line="240" w:lineRule="auto"/>
              <w:rPr>
                <w:lang w:eastAsia="en-GB"/>
              </w:rPr>
            </w:pPr>
          </w:p>
        </w:tc>
        <w:tc>
          <w:tcPr>
            <w:tcW w:w="1054" w:type="dxa"/>
            <w:tcBorders>
              <w:bottom w:val="single" w:sz="4" w:space="0" w:color="3C3C3C"/>
              <w:right w:val="single" w:sz="4" w:space="0" w:color="auto"/>
            </w:tcBorders>
            <w:shd w:val="clear" w:color="auto" w:fill="auto"/>
            <w:noWrap/>
            <w:vAlign w:val="bottom"/>
            <w:hideMark/>
          </w:tcPr>
          <w:p w14:paraId="368A1156" w14:textId="77777777" w:rsidR="007753E7" w:rsidRPr="002B2821" w:rsidRDefault="007753E7" w:rsidP="00F9539E">
            <w:pPr>
              <w:spacing w:after="0" w:line="240" w:lineRule="auto"/>
              <w:rPr>
                <w:lang w:eastAsia="en-GB"/>
              </w:rPr>
            </w:pPr>
          </w:p>
        </w:tc>
        <w:tc>
          <w:tcPr>
            <w:tcW w:w="1214" w:type="dxa"/>
            <w:tcBorders>
              <w:left w:val="single" w:sz="4" w:space="0" w:color="auto"/>
              <w:bottom w:val="single" w:sz="4" w:space="0" w:color="3C3C3C"/>
            </w:tcBorders>
            <w:shd w:val="clear" w:color="auto" w:fill="auto"/>
            <w:noWrap/>
            <w:vAlign w:val="bottom"/>
            <w:hideMark/>
          </w:tcPr>
          <w:p w14:paraId="69C7DE04" w14:textId="77777777" w:rsidR="007753E7" w:rsidRPr="002B2821" w:rsidRDefault="007753E7" w:rsidP="00F9539E">
            <w:pPr>
              <w:spacing w:after="0" w:line="240" w:lineRule="auto"/>
              <w:rPr>
                <w:lang w:eastAsia="en-GB"/>
              </w:rPr>
            </w:pPr>
          </w:p>
        </w:tc>
        <w:tc>
          <w:tcPr>
            <w:tcW w:w="709" w:type="dxa"/>
            <w:tcBorders>
              <w:bottom w:val="single" w:sz="4" w:space="0" w:color="3C3C3C"/>
            </w:tcBorders>
            <w:shd w:val="clear" w:color="auto" w:fill="auto"/>
            <w:noWrap/>
            <w:vAlign w:val="bottom"/>
            <w:hideMark/>
          </w:tcPr>
          <w:p w14:paraId="339D2E20" w14:textId="77777777" w:rsidR="007753E7" w:rsidRPr="002B2821" w:rsidRDefault="007753E7" w:rsidP="00F9539E">
            <w:pPr>
              <w:spacing w:after="0" w:line="240" w:lineRule="auto"/>
              <w:rPr>
                <w:lang w:eastAsia="en-GB"/>
              </w:rPr>
            </w:pPr>
          </w:p>
        </w:tc>
        <w:tc>
          <w:tcPr>
            <w:tcW w:w="1134" w:type="dxa"/>
            <w:tcBorders>
              <w:bottom w:val="single" w:sz="4" w:space="0" w:color="3C3C3C"/>
              <w:right w:val="single" w:sz="4" w:space="0" w:color="auto"/>
            </w:tcBorders>
            <w:shd w:val="clear" w:color="auto" w:fill="auto"/>
            <w:noWrap/>
            <w:vAlign w:val="bottom"/>
            <w:hideMark/>
          </w:tcPr>
          <w:p w14:paraId="2FFF3FF7" w14:textId="77777777" w:rsidR="007753E7" w:rsidRPr="002B2821" w:rsidRDefault="007753E7" w:rsidP="00F9539E">
            <w:pPr>
              <w:spacing w:after="0" w:line="240" w:lineRule="auto"/>
              <w:rPr>
                <w:lang w:eastAsia="en-GB"/>
              </w:rPr>
            </w:pPr>
          </w:p>
        </w:tc>
        <w:tc>
          <w:tcPr>
            <w:tcW w:w="993" w:type="dxa"/>
            <w:tcBorders>
              <w:left w:val="single" w:sz="4" w:space="0" w:color="auto"/>
              <w:bottom w:val="single" w:sz="4" w:space="0" w:color="3C3C3C"/>
            </w:tcBorders>
            <w:shd w:val="clear" w:color="auto" w:fill="auto"/>
            <w:noWrap/>
            <w:vAlign w:val="bottom"/>
            <w:hideMark/>
          </w:tcPr>
          <w:p w14:paraId="6E45C55D" w14:textId="77777777" w:rsidR="007753E7" w:rsidRPr="002B2821" w:rsidRDefault="007753E7" w:rsidP="00F9539E">
            <w:pPr>
              <w:spacing w:after="0" w:line="240" w:lineRule="auto"/>
              <w:rPr>
                <w:lang w:eastAsia="en-GB"/>
              </w:rPr>
            </w:pPr>
          </w:p>
        </w:tc>
        <w:tc>
          <w:tcPr>
            <w:tcW w:w="850" w:type="dxa"/>
            <w:tcBorders>
              <w:bottom w:val="single" w:sz="4" w:space="0" w:color="3C3C3C"/>
            </w:tcBorders>
            <w:shd w:val="clear" w:color="auto" w:fill="auto"/>
            <w:noWrap/>
            <w:vAlign w:val="bottom"/>
            <w:hideMark/>
          </w:tcPr>
          <w:p w14:paraId="05B16A70" w14:textId="77777777" w:rsidR="007753E7" w:rsidRPr="002B2821" w:rsidRDefault="007753E7" w:rsidP="00F9539E">
            <w:pPr>
              <w:spacing w:after="0" w:line="240" w:lineRule="auto"/>
              <w:rPr>
                <w:lang w:eastAsia="en-GB"/>
              </w:rPr>
            </w:pPr>
          </w:p>
        </w:tc>
        <w:tc>
          <w:tcPr>
            <w:tcW w:w="992" w:type="dxa"/>
            <w:gridSpan w:val="2"/>
            <w:shd w:val="clear" w:color="auto" w:fill="auto"/>
            <w:noWrap/>
            <w:vAlign w:val="bottom"/>
            <w:hideMark/>
          </w:tcPr>
          <w:p w14:paraId="024D02AA"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5F6BDB2B" w14:textId="77777777" w:rsidR="007753E7" w:rsidRPr="002B2821" w:rsidRDefault="007753E7" w:rsidP="00F9539E">
            <w:pPr>
              <w:spacing w:after="0" w:line="240" w:lineRule="auto"/>
              <w:rPr>
                <w:lang w:eastAsia="en-GB"/>
              </w:rPr>
            </w:pPr>
          </w:p>
        </w:tc>
      </w:tr>
      <w:tr w:rsidR="007753E7" w:rsidRPr="002B2821" w14:paraId="34185EFE" w14:textId="77777777" w:rsidTr="00DE4819">
        <w:trPr>
          <w:trHeight w:val="352"/>
        </w:trPr>
        <w:tc>
          <w:tcPr>
            <w:tcW w:w="261" w:type="dxa"/>
            <w:shd w:val="clear" w:color="auto" w:fill="auto"/>
            <w:noWrap/>
            <w:vAlign w:val="bottom"/>
            <w:hideMark/>
          </w:tcPr>
          <w:p w14:paraId="42BFE597"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56D7A76C" w14:textId="77777777" w:rsidR="007753E7" w:rsidRPr="000E7AE0" w:rsidRDefault="007753E7" w:rsidP="00F9539E">
            <w:pPr>
              <w:spacing w:after="0" w:line="240" w:lineRule="auto"/>
              <w:rPr>
                <w:rFonts w:ascii="Calibri" w:hAnsi="Calibri" w:cs="Arial"/>
                <w:bCs/>
                <w:lang w:eastAsia="en-GB"/>
              </w:rPr>
            </w:pPr>
            <w:r>
              <w:rPr>
                <w:rFonts w:ascii="Calibri" w:hAnsi="Calibri" w:cs="Arial"/>
                <w:bCs/>
                <w:lang w:eastAsia="en-GB"/>
              </w:rPr>
              <w:t>Subtotal</w:t>
            </w:r>
          </w:p>
        </w:tc>
        <w:tc>
          <w:tcPr>
            <w:tcW w:w="1276" w:type="dxa"/>
            <w:tcBorders>
              <w:top w:val="single" w:sz="4" w:space="0" w:color="3C3C3C"/>
              <w:left w:val="single" w:sz="4" w:space="0" w:color="3C3C3C"/>
              <w:bottom w:val="single" w:sz="4" w:space="0" w:color="3C3C3C"/>
            </w:tcBorders>
            <w:shd w:val="clear" w:color="auto" w:fill="auto"/>
            <w:noWrap/>
            <w:vAlign w:val="bottom"/>
            <w:hideMark/>
          </w:tcPr>
          <w:p w14:paraId="2A3EC4B6"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283</w:t>
            </w:r>
          </w:p>
        </w:tc>
        <w:tc>
          <w:tcPr>
            <w:tcW w:w="850" w:type="dxa"/>
            <w:gridSpan w:val="2"/>
            <w:tcBorders>
              <w:top w:val="single" w:sz="4" w:space="0" w:color="3C3C3C"/>
              <w:bottom w:val="single" w:sz="4" w:space="0" w:color="3C3C3C"/>
            </w:tcBorders>
            <w:shd w:val="clear" w:color="auto" w:fill="auto"/>
            <w:noWrap/>
            <w:vAlign w:val="bottom"/>
            <w:hideMark/>
          </w:tcPr>
          <w:p w14:paraId="450D31DD"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86</w:t>
            </w:r>
          </w:p>
        </w:tc>
        <w:tc>
          <w:tcPr>
            <w:tcW w:w="1054" w:type="dxa"/>
            <w:tcBorders>
              <w:top w:val="single" w:sz="4" w:space="0" w:color="3C3C3C"/>
              <w:bottom w:val="single" w:sz="4" w:space="0" w:color="3C3C3C"/>
              <w:right w:val="single" w:sz="4" w:space="0" w:color="auto"/>
            </w:tcBorders>
            <w:shd w:val="clear" w:color="auto" w:fill="auto"/>
            <w:noWrap/>
            <w:vAlign w:val="bottom"/>
            <w:hideMark/>
          </w:tcPr>
          <w:p w14:paraId="263ECA85"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516</w:t>
            </w:r>
          </w:p>
        </w:tc>
        <w:tc>
          <w:tcPr>
            <w:tcW w:w="1214" w:type="dxa"/>
            <w:tcBorders>
              <w:top w:val="single" w:sz="4" w:space="0" w:color="3C3C3C"/>
              <w:left w:val="single" w:sz="4" w:space="0" w:color="auto"/>
              <w:bottom w:val="single" w:sz="4" w:space="0" w:color="3C3C3C"/>
            </w:tcBorders>
            <w:shd w:val="clear" w:color="auto" w:fill="auto"/>
            <w:noWrap/>
            <w:vAlign w:val="bottom"/>
            <w:hideMark/>
          </w:tcPr>
          <w:p w14:paraId="51EC24FC"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82</w:t>
            </w:r>
          </w:p>
        </w:tc>
        <w:tc>
          <w:tcPr>
            <w:tcW w:w="709" w:type="dxa"/>
            <w:tcBorders>
              <w:top w:val="single" w:sz="4" w:space="0" w:color="3C3C3C"/>
              <w:bottom w:val="single" w:sz="4" w:space="0" w:color="3C3C3C"/>
            </w:tcBorders>
            <w:shd w:val="clear" w:color="auto" w:fill="auto"/>
            <w:noWrap/>
            <w:vAlign w:val="bottom"/>
            <w:hideMark/>
          </w:tcPr>
          <w:p w14:paraId="6B53BB20"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54</w:t>
            </w:r>
          </w:p>
        </w:tc>
        <w:tc>
          <w:tcPr>
            <w:tcW w:w="1134" w:type="dxa"/>
            <w:tcBorders>
              <w:top w:val="single" w:sz="4" w:space="0" w:color="3C3C3C"/>
              <w:bottom w:val="single" w:sz="4" w:space="0" w:color="3C3C3C"/>
              <w:right w:val="single" w:sz="4" w:space="0" w:color="auto"/>
            </w:tcBorders>
            <w:shd w:val="clear" w:color="auto" w:fill="auto"/>
            <w:noWrap/>
            <w:vAlign w:val="bottom"/>
            <w:hideMark/>
          </w:tcPr>
          <w:p w14:paraId="063EA3D4"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63</w:t>
            </w:r>
          </w:p>
        </w:tc>
        <w:tc>
          <w:tcPr>
            <w:tcW w:w="993" w:type="dxa"/>
            <w:tcBorders>
              <w:top w:val="single" w:sz="4" w:space="0" w:color="3C3C3C"/>
              <w:left w:val="single" w:sz="4" w:space="0" w:color="auto"/>
              <w:bottom w:val="single" w:sz="4" w:space="0" w:color="3C3C3C"/>
            </w:tcBorders>
            <w:shd w:val="clear" w:color="auto" w:fill="auto"/>
            <w:noWrap/>
            <w:vAlign w:val="bottom"/>
            <w:hideMark/>
          </w:tcPr>
          <w:p w14:paraId="2C1FB064"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329</w:t>
            </w:r>
          </w:p>
        </w:tc>
        <w:tc>
          <w:tcPr>
            <w:tcW w:w="850" w:type="dxa"/>
            <w:tcBorders>
              <w:top w:val="single" w:sz="4" w:space="0" w:color="3C3C3C"/>
              <w:bottom w:val="single" w:sz="4" w:space="0" w:color="3C3C3C"/>
              <w:right w:val="single" w:sz="4" w:space="0" w:color="3C3C3C"/>
            </w:tcBorders>
            <w:shd w:val="clear" w:color="auto" w:fill="auto"/>
            <w:noWrap/>
            <w:vAlign w:val="bottom"/>
            <w:hideMark/>
          </w:tcPr>
          <w:p w14:paraId="56BEC4E4"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1</w:t>
            </w:r>
            <w:r>
              <w:rPr>
                <w:rFonts w:ascii="Calibri" w:hAnsi="Calibri" w:cs="Arial"/>
                <w:b/>
                <w:bCs/>
                <w:sz w:val="18"/>
                <w:szCs w:val="18"/>
                <w:lang w:eastAsia="en-GB"/>
              </w:rPr>
              <w:t>,</w:t>
            </w:r>
            <w:r w:rsidRPr="002B2821">
              <w:rPr>
                <w:rFonts w:ascii="Calibri" w:hAnsi="Calibri" w:cs="Arial"/>
                <w:b/>
                <w:bCs/>
                <w:sz w:val="18"/>
                <w:szCs w:val="18"/>
                <w:lang w:eastAsia="en-GB"/>
              </w:rPr>
              <w:t>413</w:t>
            </w:r>
          </w:p>
        </w:tc>
        <w:tc>
          <w:tcPr>
            <w:tcW w:w="992" w:type="dxa"/>
            <w:gridSpan w:val="2"/>
            <w:tcBorders>
              <w:left w:val="single" w:sz="4" w:space="0" w:color="3C3C3C"/>
            </w:tcBorders>
            <w:shd w:val="clear" w:color="auto" w:fill="auto"/>
            <w:noWrap/>
            <w:vAlign w:val="bottom"/>
            <w:hideMark/>
          </w:tcPr>
          <w:p w14:paraId="6F94537D"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w:t>
            </w:r>
            <w:r>
              <w:rPr>
                <w:rFonts w:ascii="Calibri" w:hAnsi="Calibri" w:cs="Arial"/>
                <w:sz w:val="18"/>
                <w:szCs w:val="18"/>
                <w:lang w:eastAsia="en-GB"/>
              </w:rPr>
              <w:t>,</w:t>
            </w:r>
            <w:r w:rsidRPr="002B2821">
              <w:rPr>
                <w:rFonts w:ascii="Calibri" w:hAnsi="Calibri" w:cs="Arial"/>
                <w:sz w:val="18"/>
                <w:szCs w:val="18"/>
                <w:lang w:eastAsia="en-GB"/>
              </w:rPr>
              <w:t>481</w:t>
            </w:r>
          </w:p>
        </w:tc>
        <w:tc>
          <w:tcPr>
            <w:tcW w:w="238" w:type="dxa"/>
            <w:gridSpan w:val="2"/>
            <w:shd w:val="clear" w:color="auto" w:fill="auto"/>
            <w:noWrap/>
            <w:vAlign w:val="bottom"/>
            <w:hideMark/>
          </w:tcPr>
          <w:p w14:paraId="2853DB7F"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4CC7EC1E" w14:textId="77777777" w:rsidTr="00DE4819">
        <w:trPr>
          <w:trHeight w:val="352"/>
        </w:trPr>
        <w:tc>
          <w:tcPr>
            <w:tcW w:w="261" w:type="dxa"/>
            <w:shd w:val="clear" w:color="auto" w:fill="auto"/>
            <w:noWrap/>
            <w:vAlign w:val="bottom"/>
            <w:hideMark/>
          </w:tcPr>
          <w:p w14:paraId="26011788"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12F08D68" w14:textId="77777777" w:rsidR="007753E7" w:rsidRPr="000E7AE0" w:rsidRDefault="007753E7" w:rsidP="00F9539E">
            <w:pPr>
              <w:spacing w:after="0" w:line="240" w:lineRule="auto"/>
              <w:rPr>
                <w:rFonts w:ascii="Calibri" w:hAnsi="Calibri" w:cs="Arial"/>
                <w:bCs/>
                <w:lang w:eastAsia="en-GB"/>
              </w:rPr>
            </w:pPr>
            <w:r w:rsidRPr="000E7AE0">
              <w:rPr>
                <w:rFonts w:ascii="Calibri" w:hAnsi="Calibri" w:cs="Arial"/>
                <w:bCs/>
                <w:lang w:eastAsia="en-GB"/>
              </w:rPr>
              <w:t>Total Unrestricted Costs</w:t>
            </w:r>
          </w:p>
        </w:tc>
        <w:tc>
          <w:tcPr>
            <w:tcW w:w="1276" w:type="dxa"/>
            <w:tcBorders>
              <w:top w:val="single" w:sz="4" w:space="0" w:color="3C3C3C"/>
              <w:left w:val="single" w:sz="4" w:space="0" w:color="3C3C3C"/>
            </w:tcBorders>
            <w:shd w:val="clear" w:color="auto" w:fill="auto"/>
            <w:noWrap/>
            <w:vAlign w:val="bottom"/>
            <w:hideMark/>
          </w:tcPr>
          <w:p w14:paraId="316D8FD2"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283</w:t>
            </w:r>
          </w:p>
        </w:tc>
        <w:tc>
          <w:tcPr>
            <w:tcW w:w="850" w:type="dxa"/>
            <w:gridSpan w:val="2"/>
            <w:tcBorders>
              <w:top w:val="single" w:sz="4" w:space="0" w:color="3C3C3C"/>
            </w:tcBorders>
            <w:shd w:val="clear" w:color="auto" w:fill="auto"/>
            <w:noWrap/>
            <w:vAlign w:val="bottom"/>
            <w:hideMark/>
          </w:tcPr>
          <w:p w14:paraId="5333383D"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86</w:t>
            </w:r>
          </w:p>
        </w:tc>
        <w:tc>
          <w:tcPr>
            <w:tcW w:w="1054" w:type="dxa"/>
            <w:tcBorders>
              <w:top w:val="single" w:sz="4" w:space="0" w:color="3C3C3C"/>
              <w:right w:val="single" w:sz="4" w:space="0" w:color="auto"/>
            </w:tcBorders>
            <w:shd w:val="clear" w:color="auto" w:fill="auto"/>
            <w:noWrap/>
            <w:vAlign w:val="bottom"/>
            <w:hideMark/>
          </w:tcPr>
          <w:p w14:paraId="6F016AE7"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516</w:t>
            </w:r>
          </w:p>
        </w:tc>
        <w:tc>
          <w:tcPr>
            <w:tcW w:w="1214" w:type="dxa"/>
            <w:tcBorders>
              <w:top w:val="single" w:sz="4" w:space="0" w:color="3C3C3C"/>
              <w:left w:val="single" w:sz="4" w:space="0" w:color="auto"/>
            </w:tcBorders>
            <w:shd w:val="clear" w:color="auto" w:fill="auto"/>
            <w:noWrap/>
            <w:vAlign w:val="bottom"/>
            <w:hideMark/>
          </w:tcPr>
          <w:p w14:paraId="246F0B98" w14:textId="77777777" w:rsidR="007753E7" w:rsidRPr="002B2821" w:rsidRDefault="007753E7" w:rsidP="00F9539E">
            <w:pPr>
              <w:spacing w:after="0" w:line="240" w:lineRule="auto"/>
              <w:rPr>
                <w:rFonts w:ascii="Calibri" w:hAnsi="Calibri" w:cs="Arial"/>
                <w:b/>
                <w:bCs/>
                <w:sz w:val="18"/>
                <w:szCs w:val="18"/>
                <w:lang w:eastAsia="en-GB"/>
              </w:rPr>
            </w:pPr>
            <w:r w:rsidRPr="002B2821">
              <w:rPr>
                <w:rFonts w:ascii="Calibri" w:hAnsi="Calibri" w:cs="Arial"/>
                <w:b/>
                <w:bCs/>
                <w:sz w:val="18"/>
                <w:szCs w:val="18"/>
                <w:lang w:eastAsia="en-GB"/>
              </w:rPr>
              <w:t> </w:t>
            </w:r>
          </w:p>
        </w:tc>
        <w:tc>
          <w:tcPr>
            <w:tcW w:w="709" w:type="dxa"/>
            <w:tcBorders>
              <w:top w:val="single" w:sz="4" w:space="0" w:color="3C3C3C"/>
            </w:tcBorders>
            <w:shd w:val="clear" w:color="auto" w:fill="auto"/>
            <w:noWrap/>
            <w:vAlign w:val="bottom"/>
            <w:hideMark/>
          </w:tcPr>
          <w:p w14:paraId="531C7A71"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199</w:t>
            </w:r>
          </w:p>
        </w:tc>
        <w:tc>
          <w:tcPr>
            <w:tcW w:w="1134" w:type="dxa"/>
            <w:tcBorders>
              <w:top w:val="single" w:sz="4" w:space="0" w:color="3C3C3C"/>
              <w:right w:val="single" w:sz="4" w:space="0" w:color="auto"/>
            </w:tcBorders>
            <w:shd w:val="clear" w:color="auto" w:fill="auto"/>
            <w:noWrap/>
            <w:vAlign w:val="bottom"/>
            <w:hideMark/>
          </w:tcPr>
          <w:p w14:paraId="0692320C" w14:textId="77777777" w:rsidR="007753E7" w:rsidRPr="002B2821" w:rsidRDefault="007753E7" w:rsidP="00F9539E">
            <w:pPr>
              <w:spacing w:after="0" w:line="240" w:lineRule="auto"/>
              <w:rPr>
                <w:rFonts w:ascii="Calibri" w:hAnsi="Calibri" w:cs="Arial"/>
                <w:b/>
                <w:bCs/>
                <w:sz w:val="18"/>
                <w:szCs w:val="18"/>
                <w:lang w:eastAsia="en-GB"/>
              </w:rPr>
            </w:pPr>
            <w:r w:rsidRPr="002B2821">
              <w:rPr>
                <w:rFonts w:ascii="Calibri" w:hAnsi="Calibri" w:cs="Arial"/>
                <w:b/>
                <w:bCs/>
                <w:sz w:val="18"/>
                <w:szCs w:val="18"/>
                <w:lang w:eastAsia="en-GB"/>
              </w:rPr>
              <w:t> </w:t>
            </w:r>
          </w:p>
        </w:tc>
        <w:tc>
          <w:tcPr>
            <w:tcW w:w="993" w:type="dxa"/>
            <w:tcBorders>
              <w:top w:val="single" w:sz="4" w:space="0" w:color="3C3C3C"/>
              <w:left w:val="single" w:sz="4" w:space="0" w:color="auto"/>
            </w:tcBorders>
            <w:shd w:val="clear" w:color="auto" w:fill="auto"/>
            <w:noWrap/>
            <w:vAlign w:val="bottom"/>
            <w:hideMark/>
          </w:tcPr>
          <w:p w14:paraId="3196A68A" w14:textId="77777777" w:rsidR="007753E7" w:rsidRPr="002B2821" w:rsidRDefault="007753E7" w:rsidP="00F9539E">
            <w:pPr>
              <w:spacing w:after="0" w:line="240" w:lineRule="auto"/>
              <w:rPr>
                <w:rFonts w:ascii="Calibri" w:hAnsi="Calibri" w:cs="Arial"/>
                <w:b/>
                <w:bCs/>
                <w:sz w:val="18"/>
                <w:szCs w:val="18"/>
                <w:lang w:eastAsia="en-GB"/>
              </w:rPr>
            </w:pPr>
          </w:p>
        </w:tc>
        <w:tc>
          <w:tcPr>
            <w:tcW w:w="850" w:type="dxa"/>
            <w:tcBorders>
              <w:top w:val="single" w:sz="4" w:space="0" w:color="3C3C3C"/>
              <w:right w:val="single" w:sz="4" w:space="0" w:color="3C3C3C"/>
            </w:tcBorders>
            <w:shd w:val="clear" w:color="auto" w:fill="auto"/>
            <w:noWrap/>
            <w:vAlign w:val="bottom"/>
            <w:hideMark/>
          </w:tcPr>
          <w:p w14:paraId="7B7FCE1A"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1</w:t>
            </w:r>
            <w:r>
              <w:rPr>
                <w:rFonts w:ascii="Calibri" w:hAnsi="Calibri" w:cs="Arial"/>
                <w:b/>
                <w:bCs/>
                <w:sz w:val="18"/>
                <w:szCs w:val="18"/>
                <w:lang w:eastAsia="en-GB"/>
              </w:rPr>
              <w:t>,</w:t>
            </w:r>
            <w:r w:rsidRPr="002B2821">
              <w:rPr>
                <w:rFonts w:ascii="Calibri" w:hAnsi="Calibri" w:cs="Arial"/>
                <w:b/>
                <w:bCs/>
                <w:sz w:val="18"/>
                <w:szCs w:val="18"/>
                <w:lang w:eastAsia="en-GB"/>
              </w:rPr>
              <w:t>084</w:t>
            </w:r>
          </w:p>
        </w:tc>
        <w:tc>
          <w:tcPr>
            <w:tcW w:w="992" w:type="dxa"/>
            <w:gridSpan w:val="2"/>
            <w:tcBorders>
              <w:left w:val="single" w:sz="4" w:space="0" w:color="3C3C3C"/>
            </w:tcBorders>
            <w:shd w:val="clear" w:color="auto" w:fill="auto"/>
            <w:noWrap/>
            <w:vAlign w:val="bottom"/>
            <w:hideMark/>
          </w:tcPr>
          <w:p w14:paraId="7112B0B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w:t>
            </w:r>
            <w:r>
              <w:rPr>
                <w:rFonts w:ascii="Calibri" w:hAnsi="Calibri" w:cs="Arial"/>
                <w:sz w:val="18"/>
                <w:szCs w:val="18"/>
                <w:lang w:eastAsia="en-GB"/>
              </w:rPr>
              <w:t>,</w:t>
            </w:r>
            <w:r w:rsidRPr="002B2821">
              <w:rPr>
                <w:rFonts w:ascii="Calibri" w:hAnsi="Calibri" w:cs="Arial"/>
                <w:sz w:val="18"/>
                <w:szCs w:val="18"/>
                <w:lang w:eastAsia="en-GB"/>
              </w:rPr>
              <w:t>106</w:t>
            </w:r>
          </w:p>
        </w:tc>
        <w:tc>
          <w:tcPr>
            <w:tcW w:w="238" w:type="dxa"/>
            <w:gridSpan w:val="2"/>
            <w:shd w:val="clear" w:color="auto" w:fill="auto"/>
            <w:noWrap/>
            <w:vAlign w:val="bottom"/>
            <w:hideMark/>
          </w:tcPr>
          <w:p w14:paraId="7511F3EE"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644851A3" w14:textId="77777777" w:rsidTr="00DE4819">
        <w:trPr>
          <w:trHeight w:val="352"/>
        </w:trPr>
        <w:tc>
          <w:tcPr>
            <w:tcW w:w="261" w:type="dxa"/>
            <w:shd w:val="clear" w:color="auto" w:fill="auto"/>
            <w:noWrap/>
            <w:vAlign w:val="bottom"/>
            <w:hideMark/>
          </w:tcPr>
          <w:p w14:paraId="2CBA2214"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7BBA114F" w14:textId="77777777" w:rsidR="007753E7" w:rsidRPr="002A6B58" w:rsidRDefault="007753E7" w:rsidP="00F9539E">
            <w:pPr>
              <w:spacing w:after="0" w:line="240" w:lineRule="auto"/>
              <w:rPr>
                <w:rFonts w:ascii="Calibri" w:hAnsi="Calibri" w:cs="Arial"/>
                <w:b/>
                <w:bCs/>
                <w:lang w:eastAsia="en-GB"/>
              </w:rPr>
            </w:pPr>
          </w:p>
        </w:tc>
        <w:tc>
          <w:tcPr>
            <w:tcW w:w="1276" w:type="dxa"/>
            <w:tcBorders>
              <w:left w:val="single" w:sz="4" w:space="0" w:color="3C3C3C"/>
              <w:bottom w:val="single" w:sz="4" w:space="0" w:color="3C3C3C"/>
            </w:tcBorders>
            <w:shd w:val="clear" w:color="auto" w:fill="auto"/>
            <w:noWrap/>
            <w:vAlign w:val="bottom"/>
            <w:hideMark/>
          </w:tcPr>
          <w:p w14:paraId="2C36FECF" w14:textId="77777777" w:rsidR="007753E7" w:rsidRPr="002B2821" w:rsidRDefault="007753E7" w:rsidP="00F9539E">
            <w:pPr>
              <w:spacing w:after="0" w:line="240" w:lineRule="auto"/>
              <w:rPr>
                <w:rFonts w:ascii="Calibri" w:hAnsi="Calibri" w:cs="Arial"/>
                <w:b/>
                <w:bCs/>
                <w:lang w:eastAsia="en-GB"/>
              </w:rPr>
            </w:pPr>
          </w:p>
        </w:tc>
        <w:tc>
          <w:tcPr>
            <w:tcW w:w="850" w:type="dxa"/>
            <w:gridSpan w:val="2"/>
            <w:tcBorders>
              <w:bottom w:val="single" w:sz="4" w:space="0" w:color="3C3C3C"/>
            </w:tcBorders>
            <w:shd w:val="clear" w:color="auto" w:fill="auto"/>
            <w:noWrap/>
            <w:vAlign w:val="bottom"/>
            <w:hideMark/>
          </w:tcPr>
          <w:p w14:paraId="54DA0F75" w14:textId="77777777" w:rsidR="007753E7" w:rsidRPr="002B2821" w:rsidRDefault="007753E7" w:rsidP="00F9539E">
            <w:pPr>
              <w:spacing w:after="0" w:line="240" w:lineRule="auto"/>
              <w:rPr>
                <w:lang w:eastAsia="en-GB"/>
              </w:rPr>
            </w:pPr>
          </w:p>
        </w:tc>
        <w:tc>
          <w:tcPr>
            <w:tcW w:w="1054" w:type="dxa"/>
            <w:tcBorders>
              <w:bottom w:val="single" w:sz="4" w:space="0" w:color="3C3C3C"/>
              <w:right w:val="single" w:sz="4" w:space="0" w:color="auto"/>
            </w:tcBorders>
            <w:shd w:val="clear" w:color="auto" w:fill="auto"/>
            <w:noWrap/>
            <w:vAlign w:val="bottom"/>
            <w:hideMark/>
          </w:tcPr>
          <w:p w14:paraId="4C8FE78D" w14:textId="77777777" w:rsidR="007753E7" w:rsidRPr="002B2821" w:rsidRDefault="007753E7" w:rsidP="00F9539E">
            <w:pPr>
              <w:spacing w:after="0" w:line="240" w:lineRule="auto"/>
              <w:rPr>
                <w:lang w:eastAsia="en-GB"/>
              </w:rPr>
            </w:pPr>
          </w:p>
        </w:tc>
        <w:tc>
          <w:tcPr>
            <w:tcW w:w="1214" w:type="dxa"/>
            <w:tcBorders>
              <w:left w:val="single" w:sz="4" w:space="0" w:color="auto"/>
              <w:bottom w:val="single" w:sz="4" w:space="0" w:color="3C3C3C"/>
            </w:tcBorders>
            <w:shd w:val="clear" w:color="auto" w:fill="auto"/>
            <w:noWrap/>
            <w:vAlign w:val="bottom"/>
            <w:hideMark/>
          </w:tcPr>
          <w:p w14:paraId="47B2E337" w14:textId="77777777" w:rsidR="007753E7" w:rsidRPr="002B2821" w:rsidRDefault="007753E7" w:rsidP="00F9539E">
            <w:pPr>
              <w:spacing w:after="0" w:line="240" w:lineRule="auto"/>
              <w:rPr>
                <w:lang w:eastAsia="en-GB"/>
              </w:rPr>
            </w:pPr>
          </w:p>
        </w:tc>
        <w:tc>
          <w:tcPr>
            <w:tcW w:w="709" w:type="dxa"/>
            <w:tcBorders>
              <w:bottom w:val="single" w:sz="4" w:space="0" w:color="3C3C3C"/>
            </w:tcBorders>
            <w:shd w:val="clear" w:color="auto" w:fill="auto"/>
            <w:noWrap/>
            <w:vAlign w:val="bottom"/>
            <w:hideMark/>
          </w:tcPr>
          <w:p w14:paraId="34C38A66" w14:textId="77777777" w:rsidR="007753E7" w:rsidRPr="002B2821" w:rsidRDefault="007753E7" w:rsidP="00F9539E">
            <w:pPr>
              <w:spacing w:after="0" w:line="240" w:lineRule="auto"/>
              <w:rPr>
                <w:lang w:eastAsia="en-GB"/>
              </w:rPr>
            </w:pPr>
          </w:p>
        </w:tc>
        <w:tc>
          <w:tcPr>
            <w:tcW w:w="1134" w:type="dxa"/>
            <w:tcBorders>
              <w:bottom w:val="single" w:sz="4" w:space="0" w:color="3C3C3C"/>
              <w:right w:val="single" w:sz="4" w:space="0" w:color="auto"/>
            </w:tcBorders>
            <w:shd w:val="clear" w:color="auto" w:fill="auto"/>
            <w:noWrap/>
            <w:vAlign w:val="bottom"/>
            <w:hideMark/>
          </w:tcPr>
          <w:p w14:paraId="4CA14797" w14:textId="77777777" w:rsidR="007753E7" w:rsidRPr="002B2821" w:rsidRDefault="007753E7" w:rsidP="00F9539E">
            <w:pPr>
              <w:spacing w:after="0" w:line="240" w:lineRule="auto"/>
              <w:rPr>
                <w:lang w:eastAsia="en-GB"/>
              </w:rPr>
            </w:pPr>
          </w:p>
        </w:tc>
        <w:tc>
          <w:tcPr>
            <w:tcW w:w="993" w:type="dxa"/>
            <w:tcBorders>
              <w:left w:val="single" w:sz="4" w:space="0" w:color="auto"/>
              <w:bottom w:val="single" w:sz="4" w:space="0" w:color="3C3C3C"/>
            </w:tcBorders>
            <w:shd w:val="clear" w:color="auto" w:fill="auto"/>
            <w:noWrap/>
            <w:vAlign w:val="bottom"/>
            <w:hideMark/>
          </w:tcPr>
          <w:p w14:paraId="62445235" w14:textId="77777777" w:rsidR="007753E7" w:rsidRPr="002B2821" w:rsidRDefault="007753E7" w:rsidP="00F9539E">
            <w:pPr>
              <w:spacing w:after="0" w:line="240" w:lineRule="auto"/>
              <w:rPr>
                <w:lang w:eastAsia="en-GB"/>
              </w:rPr>
            </w:pPr>
          </w:p>
        </w:tc>
        <w:tc>
          <w:tcPr>
            <w:tcW w:w="850" w:type="dxa"/>
            <w:tcBorders>
              <w:bottom w:val="single" w:sz="4" w:space="0" w:color="3C3C3C"/>
              <w:right w:val="single" w:sz="4" w:space="0" w:color="3C3C3C"/>
            </w:tcBorders>
            <w:shd w:val="clear" w:color="auto" w:fill="auto"/>
            <w:noWrap/>
            <w:vAlign w:val="bottom"/>
            <w:hideMark/>
          </w:tcPr>
          <w:p w14:paraId="721299BC" w14:textId="77777777" w:rsidR="007753E7" w:rsidRPr="002B2821" w:rsidRDefault="007753E7" w:rsidP="00F9539E">
            <w:pPr>
              <w:spacing w:after="0" w:line="240" w:lineRule="auto"/>
              <w:rPr>
                <w:lang w:eastAsia="en-GB"/>
              </w:rPr>
            </w:pPr>
          </w:p>
        </w:tc>
        <w:tc>
          <w:tcPr>
            <w:tcW w:w="992" w:type="dxa"/>
            <w:gridSpan w:val="2"/>
            <w:tcBorders>
              <w:left w:val="single" w:sz="4" w:space="0" w:color="3C3C3C"/>
              <w:bottom w:val="single" w:sz="4" w:space="0" w:color="3C3C3C"/>
            </w:tcBorders>
            <w:shd w:val="clear" w:color="auto" w:fill="auto"/>
            <w:noWrap/>
            <w:vAlign w:val="bottom"/>
            <w:hideMark/>
          </w:tcPr>
          <w:p w14:paraId="4EA0C35F"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0873F9F1" w14:textId="77777777" w:rsidR="007753E7" w:rsidRPr="002B2821" w:rsidRDefault="007753E7" w:rsidP="00F9539E">
            <w:pPr>
              <w:spacing w:after="0" w:line="240" w:lineRule="auto"/>
              <w:rPr>
                <w:lang w:eastAsia="en-GB"/>
              </w:rPr>
            </w:pPr>
          </w:p>
        </w:tc>
      </w:tr>
      <w:tr w:rsidR="007753E7" w:rsidRPr="002B2821" w14:paraId="45F2D7CE" w14:textId="77777777" w:rsidTr="00DE4819">
        <w:trPr>
          <w:trHeight w:val="352"/>
        </w:trPr>
        <w:tc>
          <w:tcPr>
            <w:tcW w:w="261" w:type="dxa"/>
            <w:shd w:val="clear" w:color="auto" w:fill="auto"/>
            <w:noWrap/>
            <w:vAlign w:val="bottom"/>
            <w:hideMark/>
          </w:tcPr>
          <w:p w14:paraId="4570D82B"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1521D06D" w14:textId="77777777" w:rsidR="007753E7" w:rsidRPr="000E7AE0" w:rsidRDefault="007753E7" w:rsidP="00F9539E">
            <w:pPr>
              <w:spacing w:after="0" w:line="240" w:lineRule="auto"/>
              <w:rPr>
                <w:rFonts w:ascii="Calibri" w:hAnsi="Calibri" w:cs="Arial"/>
                <w:bCs/>
                <w:lang w:eastAsia="en-GB"/>
              </w:rPr>
            </w:pPr>
            <w:r w:rsidRPr="000E7AE0">
              <w:rPr>
                <w:rFonts w:ascii="Calibri" w:hAnsi="Calibri" w:cs="Arial"/>
                <w:bCs/>
                <w:lang w:eastAsia="en-GB"/>
              </w:rPr>
              <w:t>Total Restricted costs</w:t>
            </w:r>
          </w:p>
        </w:tc>
        <w:tc>
          <w:tcPr>
            <w:tcW w:w="1276" w:type="dxa"/>
            <w:tcBorders>
              <w:top w:val="single" w:sz="4" w:space="0" w:color="3C3C3C"/>
              <w:left w:val="single" w:sz="4" w:space="0" w:color="3C3C3C"/>
              <w:bottom w:val="single" w:sz="4" w:space="0" w:color="3C3C3C"/>
            </w:tcBorders>
            <w:shd w:val="clear" w:color="auto" w:fill="auto"/>
            <w:noWrap/>
            <w:vAlign w:val="bottom"/>
            <w:hideMark/>
          </w:tcPr>
          <w:p w14:paraId="4D45A12A"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1</w:t>
            </w:r>
          </w:p>
        </w:tc>
        <w:tc>
          <w:tcPr>
            <w:tcW w:w="850" w:type="dxa"/>
            <w:gridSpan w:val="2"/>
            <w:tcBorders>
              <w:top w:val="single" w:sz="4" w:space="0" w:color="3C3C3C"/>
              <w:bottom w:val="single" w:sz="4" w:space="0" w:color="3C3C3C"/>
            </w:tcBorders>
            <w:shd w:val="clear" w:color="auto" w:fill="auto"/>
            <w:noWrap/>
            <w:vAlign w:val="bottom"/>
            <w:hideMark/>
          </w:tcPr>
          <w:p w14:paraId="0344B19C"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79</w:t>
            </w:r>
          </w:p>
        </w:tc>
        <w:tc>
          <w:tcPr>
            <w:tcW w:w="1054" w:type="dxa"/>
            <w:tcBorders>
              <w:top w:val="single" w:sz="4" w:space="0" w:color="3C3C3C"/>
              <w:bottom w:val="single" w:sz="4" w:space="0" w:color="3C3C3C"/>
              <w:right w:val="single" w:sz="4" w:space="0" w:color="auto"/>
            </w:tcBorders>
            <w:shd w:val="clear" w:color="auto" w:fill="auto"/>
            <w:noWrap/>
            <w:vAlign w:val="bottom"/>
            <w:hideMark/>
          </w:tcPr>
          <w:p w14:paraId="7D5E6FFB"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216</w:t>
            </w:r>
          </w:p>
        </w:tc>
        <w:tc>
          <w:tcPr>
            <w:tcW w:w="1214" w:type="dxa"/>
            <w:tcBorders>
              <w:top w:val="single" w:sz="4" w:space="0" w:color="3C3C3C"/>
              <w:left w:val="single" w:sz="4" w:space="0" w:color="auto"/>
              <w:bottom w:val="single" w:sz="4" w:space="0" w:color="3C3C3C"/>
            </w:tcBorders>
            <w:shd w:val="clear" w:color="auto" w:fill="auto"/>
            <w:noWrap/>
            <w:vAlign w:val="bottom"/>
            <w:hideMark/>
          </w:tcPr>
          <w:p w14:paraId="2AFAE6E0" w14:textId="77777777" w:rsidR="007753E7" w:rsidRPr="002B2821" w:rsidRDefault="007753E7" w:rsidP="00F9539E">
            <w:pPr>
              <w:spacing w:after="0" w:line="240" w:lineRule="auto"/>
              <w:jc w:val="right"/>
              <w:rPr>
                <w:rFonts w:ascii="Calibri" w:hAnsi="Calibri" w:cs="Arial"/>
                <w:b/>
                <w:bCs/>
                <w:sz w:val="18"/>
                <w:szCs w:val="18"/>
                <w:lang w:eastAsia="en-GB"/>
              </w:rPr>
            </w:pPr>
          </w:p>
        </w:tc>
        <w:tc>
          <w:tcPr>
            <w:tcW w:w="709" w:type="dxa"/>
            <w:tcBorders>
              <w:top w:val="single" w:sz="4" w:space="0" w:color="3C3C3C"/>
              <w:bottom w:val="single" w:sz="4" w:space="0" w:color="3C3C3C"/>
            </w:tcBorders>
            <w:shd w:val="clear" w:color="auto" w:fill="auto"/>
            <w:noWrap/>
            <w:vAlign w:val="bottom"/>
            <w:hideMark/>
          </w:tcPr>
          <w:p w14:paraId="7677DF23"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33</w:t>
            </w:r>
          </w:p>
        </w:tc>
        <w:tc>
          <w:tcPr>
            <w:tcW w:w="1134" w:type="dxa"/>
            <w:tcBorders>
              <w:top w:val="single" w:sz="4" w:space="0" w:color="3C3C3C"/>
              <w:bottom w:val="single" w:sz="4" w:space="0" w:color="3C3C3C"/>
              <w:right w:val="single" w:sz="4" w:space="0" w:color="auto"/>
            </w:tcBorders>
            <w:shd w:val="clear" w:color="auto" w:fill="auto"/>
            <w:noWrap/>
            <w:vAlign w:val="bottom"/>
            <w:hideMark/>
          </w:tcPr>
          <w:p w14:paraId="6FB831A8" w14:textId="77777777" w:rsidR="007753E7" w:rsidRPr="002B2821" w:rsidRDefault="007753E7" w:rsidP="00F9539E">
            <w:pPr>
              <w:spacing w:after="0" w:line="240" w:lineRule="auto"/>
              <w:rPr>
                <w:lang w:eastAsia="en-GB"/>
              </w:rPr>
            </w:pPr>
          </w:p>
        </w:tc>
        <w:tc>
          <w:tcPr>
            <w:tcW w:w="993" w:type="dxa"/>
            <w:tcBorders>
              <w:top w:val="single" w:sz="4" w:space="0" w:color="3C3C3C"/>
              <w:left w:val="single" w:sz="4" w:space="0" w:color="auto"/>
              <w:bottom w:val="single" w:sz="4" w:space="0" w:color="3C3C3C"/>
            </w:tcBorders>
            <w:shd w:val="clear" w:color="auto" w:fill="auto"/>
            <w:noWrap/>
            <w:vAlign w:val="bottom"/>
            <w:hideMark/>
          </w:tcPr>
          <w:p w14:paraId="0855E243" w14:textId="77777777" w:rsidR="007753E7" w:rsidRPr="002B2821" w:rsidRDefault="007753E7" w:rsidP="00F9539E">
            <w:pPr>
              <w:spacing w:after="0" w:line="240" w:lineRule="auto"/>
              <w:rPr>
                <w:lang w:eastAsia="en-GB"/>
              </w:rPr>
            </w:pPr>
          </w:p>
        </w:tc>
        <w:tc>
          <w:tcPr>
            <w:tcW w:w="850" w:type="dxa"/>
            <w:tcBorders>
              <w:top w:val="single" w:sz="4" w:space="0" w:color="3C3C3C"/>
              <w:bottom w:val="single" w:sz="4" w:space="0" w:color="3C3C3C"/>
            </w:tcBorders>
            <w:shd w:val="clear" w:color="auto" w:fill="auto"/>
            <w:noWrap/>
            <w:vAlign w:val="bottom"/>
            <w:hideMark/>
          </w:tcPr>
          <w:p w14:paraId="61D5CAED" w14:textId="77777777" w:rsidR="007753E7" w:rsidRPr="002B2821" w:rsidRDefault="007753E7" w:rsidP="00F9539E">
            <w:pPr>
              <w:spacing w:after="0" w:line="240" w:lineRule="auto"/>
              <w:jc w:val="right"/>
              <w:rPr>
                <w:rFonts w:ascii="Calibri" w:hAnsi="Calibri" w:cs="Arial"/>
                <w:b/>
                <w:bCs/>
                <w:sz w:val="18"/>
                <w:szCs w:val="18"/>
                <w:lang w:eastAsia="en-GB"/>
              </w:rPr>
            </w:pPr>
            <w:r w:rsidRPr="002B2821">
              <w:rPr>
                <w:rFonts w:ascii="Calibri" w:hAnsi="Calibri" w:cs="Arial"/>
                <w:b/>
                <w:bCs/>
                <w:sz w:val="18"/>
                <w:szCs w:val="18"/>
                <w:lang w:eastAsia="en-GB"/>
              </w:rPr>
              <w:t>329</w:t>
            </w:r>
          </w:p>
        </w:tc>
        <w:tc>
          <w:tcPr>
            <w:tcW w:w="992" w:type="dxa"/>
            <w:gridSpan w:val="2"/>
            <w:tcBorders>
              <w:top w:val="single" w:sz="4" w:space="0" w:color="3C3C3C"/>
              <w:bottom w:val="single" w:sz="4" w:space="0" w:color="3C3C3C"/>
              <w:right w:val="single" w:sz="4" w:space="0" w:color="3C3C3C"/>
            </w:tcBorders>
            <w:shd w:val="clear" w:color="auto" w:fill="auto"/>
            <w:noWrap/>
            <w:vAlign w:val="bottom"/>
            <w:hideMark/>
          </w:tcPr>
          <w:p w14:paraId="61D6D4D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375</w:t>
            </w:r>
          </w:p>
        </w:tc>
        <w:tc>
          <w:tcPr>
            <w:tcW w:w="238" w:type="dxa"/>
            <w:gridSpan w:val="2"/>
            <w:tcBorders>
              <w:left w:val="single" w:sz="4" w:space="0" w:color="3C3C3C"/>
            </w:tcBorders>
            <w:shd w:val="clear" w:color="auto" w:fill="auto"/>
            <w:noWrap/>
            <w:vAlign w:val="bottom"/>
            <w:hideMark/>
          </w:tcPr>
          <w:p w14:paraId="09B027C8"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585E8BD2" w14:textId="77777777" w:rsidTr="00DE4819">
        <w:trPr>
          <w:trHeight w:val="352"/>
        </w:trPr>
        <w:tc>
          <w:tcPr>
            <w:tcW w:w="261" w:type="dxa"/>
            <w:shd w:val="clear" w:color="auto" w:fill="auto"/>
            <w:noWrap/>
            <w:vAlign w:val="bottom"/>
          </w:tcPr>
          <w:p w14:paraId="104DE3DD"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tcPr>
          <w:p w14:paraId="172B4997" w14:textId="77777777" w:rsidR="007753E7" w:rsidRPr="000E7AE0" w:rsidRDefault="007753E7" w:rsidP="00F9539E">
            <w:pPr>
              <w:spacing w:after="0" w:line="240" w:lineRule="auto"/>
              <w:rPr>
                <w:rFonts w:ascii="Calibri" w:hAnsi="Calibri" w:cs="Arial"/>
                <w:bCs/>
                <w:lang w:eastAsia="en-GB"/>
              </w:rPr>
            </w:pPr>
            <w:r w:rsidRPr="000E7AE0">
              <w:rPr>
                <w:rFonts w:ascii="Calibri" w:hAnsi="Calibri" w:cs="Arial"/>
                <w:bCs/>
                <w:lang w:eastAsia="en-GB"/>
              </w:rPr>
              <w:t>TOTAL</w:t>
            </w:r>
          </w:p>
        </w:tc>
        <w:tc>
          <w:tcPr>
            <w:tcW w:w="1276" w:type="dxa"/>
            <w:tcBorders>
              <w:top w:val="single" w:sz="4" w:space="0" w:color="3C3C3C"/>
            </w:tcBorders>
            <w:shd w:val="clear" w:color="auto" w:fill="auto"/>
            <w:noWrap/>
            <w:vAlign w:val="bottom"/>
          </w:tcPr>
          <w:p w14:paraId="72B2D116"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284</w:t>
            </w:r>
          </w:p>
        </w:tc>
        <w:tc>
          <w:tcPr>
            <w:tcW w:w="850" w:type="dxa"/>
            <w:gridSpan w:val="2"/>
            <w:tcBorders>
              <w:top w:val="single" w:sz="4" w:space="0" w:color="3C3C3C"/>
            </w:tcBorders>
            <w:shd w:val="clear" w:color="auto" w:fill="auto"/>
            <w:noWrap/>
            <w:vAlign w:val="bottom"/>
          </w:tcPr>
          <w:p w14:paraId="510C31C7"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165</w:t>
            </w:r>
          </w:p>
        </w:tc>
        <w:tc>
          <w:tcPr>
            <w:tcW w:w="1054" w:type="dxa"/>
            <w:tcBorders>
              <w:top w:val="single" w:sz="4" w:space="0" w:color="3C3C3C"/>
              <w:right w:val="single" w:sz="4" w:space="0" w:color="auto"/>
            </w:tcBorders>
            <w:shd w:val="clear" w:color="auto" w:fill="auto"/>
            <w:noWrap/>
            <w:vAlign w:val="bottom"/>
          </w:tcPr>
          <w:p w14:paraId="5BDE71A3"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732</w:t>
            </w:r>
          </w:p>
        </w:tc>
        <w:tc>
          <w:tcPr>
            <w:tcW w:w="1214" w:type="dxa"/>
            <w:tcBorders>
              <w:top w:val="single" w:sz="4" w:space="0" w:color="3C3C3C"/>
              <w:left w:val="single" w:sz="4" w:space="0" w:color="auto"/>
              <w:bottom w:val="single" w:sz="4" w:space="0" w:color="auto"/>
            </w:tcBorders>
            <w:shd w:val="clear" w:color="auto" w:fill="auto"/>
            <w:noWrap/>
            <w:vAlign w:val="bottom"/>
          </w:tcPr>
          <w:p w14:paraId="7FBA6BF4" w14:textId="77777777" w:rsidR="007753E7" w:rsidRPr="002B2821" w:rsidRDefault="007753E7" w:rsidP="00F9539E">
            <w:pPr>
              <w:spacing w:after="0" w:line="240" w:lineRule="auto"/>
              <w:jc w:val="right"/>
              <w:rPr>
                <w:rFonts w:ascii="Calibri" w:hAnsi="Calibri" w:cs="Arial"/>
                <w:b/>
                <w:bCs/>
                <w:sz w:val="18"/>
                <w:szCs w:val="18"/>
                <w:lang w:eastAsia="en-GB"/>
              </w:rPr>
            </w:pPr>
          </w:p>
        </w:tc>
        <w:tc>
          <w:tcPr>
            <w:tcW w:w="709" w:type="dxa"/>
            <w:tcBorders>
              <w:top w:val="single" w:sz="4" w:space="0" w:color="3C3C3C"/>
              <w:bottom w:val="single" w:sz="4" w:space="0" w:color="auto"/>
            </w:tcBorders>
            <w:shd w:val="clear" w:color="auto" w:fill="auto"/>
            <w:noWrap/>
            <w:vAlign w:val="bottom"/>
          </w:tcPr>
          <w:p w14:paraId="2DCC6581"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232</w:t>
            </w:r>
          </w:p>
        </w:tc>
        <w:tc>
          <w:tcPr>
            <w:tcW w:w="1134" w:type="dxa"/>
            <w:tcBorders>
              <w:top w:val="single" w:sz="4" w:space="0" w:color="3C3C3C"/>
              <w:bottom w:val="single" w:sz="4" w:space="0" w:color="auto"/>
              <w:right w:val="single" w:sz="4" w:space="0" w:color="auto"/>
            </w:tcBorders>
            <w:shd w:val="clear" w:color="auto" w:fill="auto"/>
            <w:noWrap/>
            <w:vAlign w:val="bottom"/>
          </w:tcPr>
          <w:p w14:paraId="155ED511" w14:textId="77777777" w:rsidR="007753E7" w:rsidRPr="002B2821" w:rsidRDefault="007753E7" w:rsidP="00F9539E">
            <w:pPr>
              <w:spacing w:after="0" w:line="240" w:lineRule="auto"/>
              <w:rPr>
                <w:lang w:eastAsia="en-GB"/>
              </w:rPr>
            </w:pPr>
          </w:p>
        </w:tc>
        <w:tc>
          <w:tcPr>
            <w:tcW w:w="993" w:type="dxa"/>
            <w:tcBorders>
              <w:top w:val="single" w:sz="4" w:space="0" w:color="3C3C3C"/>
              <w:left w:val="single" w:sz="4" w:space="0" w:color="auto"/>
            </w:tcBorders>
            <w:shd w:val="clear" w:color="auto" w:fill="auto"/>
            <w:noWrap/>
            <w:vAlign w:val="bottom"/>
          </w:tcPr>
          <w:p w14:paraId="7220A06D" w14:textId="77777777" w:rsidR="007753E7" w:rsidRPr="002B2821" w:rsidRDefault="007753E7" w:rsidP="00F9539E">
            <w:pPr>
              <w:spacing w:after="0" w:line="240" w:lineRule="auto"/>
              <w:rPr>
                <w:lang w:eastAsia="en-GB"/>
              </w:rPr>
            </w:pPr>
          </w:p>
        </w:tc>
        <w:tc>
          <w:tcPr>
            <w:tcW w:w="850" w:type="dxa"/>
            <w:tcBorders>
              <w:top w:val="single" w:sz="4" w:space="0" w:color="3C3C3C"/>
            </w:tcBorders>
            <w:shd w:val="clear" w:color="auto" w:fill="auto"/>
            <w:noWrap/>
            <w:vAlign w:val="bottom"/>
          </w:tcPr>
          <w:p w14:paraId="68B758BA" w14:textId="77777777" w:rsidR="007753E7" w:rsidRPr="002B2821" w:rsidRDefault="007753E7" w:rsidP="00F9539E">
            <w:pPr>
              <w:spacing w:after="0" w:line="240" w:lineRule="auto"/>
              <w:jc w:val="right"/>
              <w:rPr>
                <w:rFonts w:ascii="Calibri" w:hAnsi="Calibri" w:cs="Arial"/>
                <w:b/>
                <w:bCs/>
                <w:sz w:val="18"/>
                <w:szCs w:val="18"/>
                <w:lang w:eastAsia="en-GB"/>
              </w:rPr>
            </w:pPr>
            <w:r>
              <w:rPr>
                <w:rFonts w:ascii="Calibri" w:hAnsi="Calibri" w:cs="Arial"/>
                <w:b/>
                <w:bCs/>
                <w:sz w:val="18"/>
                <w:szCs w:val="18"/>
                <w:lang w:eastAsia="en-GB"/>
              </w:rPr>
              <w:t>1,413</w:t>
            </w:r>
          </w:p>
        </w:tc>
        <w:tc>
          <w:tcPr>
            <w:tcW w:w="992" w:type="dxa"/>
            <w:gridSpan w:val="2"/>
            <w:tcBorders>
              <w:top w:val="single" w:sz="4" w:space="0" w:color="3C3C3C"/>
            </w:tcBorders>
            <w:shd w:val="clear" w:color="auto" w:fill="auto"/>
            <w:noWrap/>
            <w:vAlign w:val="bottom"/>
          </w:tcPr>
          <w:p w14:paraId="5CD3BD65" w14:textId="77777777" w:rsidR="007753E7" w:rsidRPr="002B2821" w:rsidRDefault="007753E7" w:rsidP="00F9539E">
            <w:pPr>
              <w:spacing w:after="0" w:line="240" w:lineRule="auto"/>
              <w:jc w:val="right"/>
              <w:rPr>
                <w:rFonts w:ascii="Calibri" w:hAnsi="Calibri" w:cs="Arial"/>
                <w:sz w:val="18"/>
                <w:szCs w:val="18"/>
                <w:lang w:eastAsia="en-GB"/>
              </w:rPr>
            </w:pPr>
            <w:r>
              <w:rPr>
                <w:rFonts w:ascii="Calibri" w:hAnsi="Calibri" w:cs="Arial"/>
                <w:sz w:val="18"/>
                <w:szCs w:val="18"/>
                <w:lang w:eastAsia="en-GB"/>
              </w:rPr>
              <w:t>1,481</w:t>
            </w:r>
          </w:p>
        </w:tc>
        <w:tc>
          <w:tcPr>
            <w:tcW w:w="238" w:type="dxa"/>
            <w:gridSpan w:val="2"/>
            <w:shd w:val="clear" w:color="auto" w:fill="auto"/>
            <w:noWrap/>
            <w:vAlign w:val="bottom"/>
          </w:tcPr>
          <w:p w14:paraId="4215C620" w14:textId="77777777" w:rsidR="007753E7" w:rsidRPr="002B2821" w:rsidRDefault="007753E7" w:rsidP="00F9539E">
            <w:pPr>
              <w:spacing w:after="0" w:line="240" w:lineRule="auto"/>
              <w:jc w:val="right"/>
              <w:rPr>
                <w:rFonts w:ascii="Calibri" w:hAnsi="Calibri" w:cs="Arial"/>
                <w:sz w:val="18"/>
                <w:szCs w:val="18"/>
                <w:lang w:eastAsia="en-GB"/>
              </w:rPr>
            </w:pPr>
          </w:p>
        </w:tc>
      </w:tr>
      <w:tr w:rsidR="007753E7" w:rsidRPr="002B2821" w14:paraId="6ABF7537" w14:textId="77777777" w:rsidTr="00DE4819">
        <w:trPr>
          <w:trHeight w:val="206"/>
        </w:trPr>
        <w:tc>
          <w:tcPr>
            <w:tcW w:w="261" w:type="dxa"/>
            <w:shd w:val="clear" w:color="auto" w:fill="auto"/>
            <w:noWrap/>
            <w:vAlign w:val="bottom"/>
            <w:hideMark/>
          </w:tcPr>
          <w:p w14:paraId="3E26DB18"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73AFFF75"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41E8203E"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0129C45E" w14:textId="77777777" w:rsidR="007753E7" w:rsidRPr="002B2821" w:rsidRDefault="007753E7" w:rsidP="00F9539E">
            <w:pPr>
              <w:spacing w:after="0" w:line="240" w:lineRule="auto"/>
              <w:rPr>
                <w:lang w:eastAsia="en-GB"/>
              </w:rPr>
            </w:pPr>
          </w:p>
        </w:tc>
        <w:tc>
          <w:tcPr>
            <w:tcW w:w="850" w:type="dxa"/>
            <w:gridSpan w:val="2"/>
            <w:shd w:val="clear" w:color="auto" w:fill="auto"/>
            <w:noWrap/>
            <w:vAlign w:val="bottom"/>
            <w:hideMark/>
          </w:tcPr>
          <w:p w14:paraId="3A5EF575" w14:textId="77777777" w:rsidR="007753E7" w:rsidRPr="002B2821" w:rsidRDefault="007753E7" w:rsidP="00F9539E">
            <w:pPr>
              <w:spacing w:after="0" w:line="240" w:lineRule="auto"/>
              <w:rPr>
                <w:lang w:eastAsia="en-GB"/>
              </w:rPr>
            </w:pPr>
          </w:p>
        </w:tc>
        <w:tc>
          <w:tcPr>
            <w:tcW w:w="1054" w:type="dxa"/>
            <w:shd w:val="clear" w:color="auto" w:fill="auto"/>
            <w:noWrap/>
            <w:vAlign w:val="bottom"/>
            <w:hideMark/>
          </w:tcPr>
          <w:p w14:paraId="67FB62E4" w14:textId="77777777" w:rsidR="007753E7" w:rsidRPr="002B2821" w:rsidRDefault="007753E7" w:rsidP="00F9539E">
            <w:pPr>
              <w:spacing w:after="0" w:line="240" w:lineRule="auto"/>
              <w:rPr>
                <w:lang w:eastAsia="en-GB"/>
              </w:rPr>
            </w:pPr>
          </w:p>
        </w:tc>
        <w:tc>
          <w:tcPr>
            <w:tcW w:w="1214" w:type="dxa"/>
            <w:tcBorders>
              <w:top w:val="single" w:sz="4" w:space="0" w:color="auto"/>
              <w:bottom w:val="single" w:sz="4" w:space="0" w:color="3C3C3C"/>
            </w:tcBorders>
            <w:shd w:val="clear" w:color="auto" w:fill="auto"/>
            <w:noWrap/>
            <w:vAlign w:val="bottom"/>
            <w:hideMark/>
          </w:tcPr>
          <w:p w14:paraId="320DC4E2" w14:textId="77777777" w:rsidR="007753E7" w:rsidRPr="002B2821" w:rsidRDefault="007753E7" w:rsidP="00F9539E">
            <w:pPr>
              <w:spacing w:after="0" w:line="240" w:lineRule="auto"/>
              <w:rPr>
                <w:lang w:eastAsia="en-GB"/>
              </w:rPr>
            </w:pPr>
          </w:p>
        </w:tc>
        <w:tc>
          <w:tcPr>
            <w:tcW w:w="709" w:type="dxa"/>
            <w:tcBorders>
              <w:top w:val="single" w:sz="4" w:space="0" w:color="auto"/>
              <w:bottom w:val="single" w:sz="4" w:space="0" w:color="3C3C3C"/>
            </w:tcBorders>
            <w:shd w:val="clear" w:color="auto" w:fill="auto"/>
            <w:noWrap/>
            <w:vAlign w:val="bottom"/>
            <w:hideMark/>
          </w:tcPr>
          <w:p w14:paraId="5546D5D6" w14:textId="77777777" w:rsidR="007753E7" w:rsidRPr="002B2821" w:rsidRDefault="007753E7" w:rsidP="00F9539E">
            <w:pPr>
              <w:spacing w:after="0" w:line="240" w:lineRule="auto"/>
              <w:rPr>
                <w:lang w:eastAsia="en-GB"/>
              </w:rPr>
            </w:pPr>
          </w:p>
        </w:tc>
        <w:tc>
          <w:tcPr>
            <w:tcW w:w="1134" w:type="dxa"/>
            <w:tcBorders>
              <w:top w:val="single" w:sz="4" w:space="0" w:color="auto"/>
              <w:bottom w:val="single" w:sz="4" w:space="0" w:color="3C3C3C"/>
            </w:tcBorders>
            <w:shd w:val="clear" w:color="auto" w:fill="auto"/>
            <w:noWrap/>
            <w:vAlign w:val="bottom"/>
            <w:hideMark/>
          </w:tcPr>
          <w:p w14:paraId="19865460" w14:textId="77777777" w:rsidR="007753E7" w:rsidRPr="002B2821" w:rsidRDefault="007753E7" w:rsidP="00F9539E">
            <w:pPr>
              <w:spacing w:after="0" w:line="240" w:lineRule="auto"/>
              <w:rPr>
                <w:lang w:eastAsia="en-GB"/>
              </w:rPr>
            </w:pPr>
          </w:p>
        </w:tc>
        <w:tc>
          <w:tcPr>
            <w:tcW w:w="993" w:type="dxa"/>
            <w:shd w:val="clear" w:color="auto" w:fill="auto"/>
            <w:noWrap/>
            <w:vAlign w:val="bottom"/>
            <w:hideMark/>
          </w:tcPr>
          <w:p w14:paraId="515FB45A" w14:textId="77777777" w:rsidR="007753E7" w:rsidRPr="002B2821" w:rsidRDefault="007753E7" w:rsidP="00F9539E">
            <w:pPr>
              <w:spacing w:after="0" w:line="240" w:lineRule="auto"/>
              <w:rPr>
                <w:lang w:eastAsia="en-GB"/>
              </w:rPr>
            </w:pPr>
          </w:p>
        </w:tc>
        <w:tc>
          <w:tcPr>
            <w:tcW w:w="850" w:type="dxa"/>
            <w:shd w:val="clear" w:color="auto" w:fill="auto"/>
            <w:noWrap/>
            <w:vAlign w:val="bottom"/>
            <w:hideMark/>
          </w:tcPr>
          <w:p w14:paraId="5F96B37D" w14:textId="77777777" w:rsidR="007753E7" w:rsidRPr="002B2821" w:rsidRDefault="007753E7" w:rsidP="00F9539E">
            <w:pPr>
              <w:spacing w:after="0" w:line="240" w:lineRule="auto"/>
              <w:rPr>
                <w:lang w:eastAsia="en-GB"/>
              </w:rPr>
            </w:pPr>
          </w:p>
        </w:tc>
        <w:tc>
          <w:tcPr>
            <w:tcW w:w="992" w:type="dxa"/>
            <w:gridSpan w:val="2"/>
            <w:shd w:val="clear" w:color="auto" w:fill="auto"/>
            <w:noWrap/>
            <w:vAlign w:val="bottom"/>
            <w:hideMark/>
          </w:tcPr>
          <w:p w14:paraId="3370B799"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064045B9" w14:textId="77777777" w:rsidR="007753E7" w:rsidRPr="002B2821" w:rsidRDefault="007753E7" w:rsidP="00F9539E">
            <w:pPr>
              <w:spacing w:after="0" w:line="240" w:lineRule="auto"/>
              <w:rPr>
                <w:lang w:eastAsia="en-GB"/>
              </w:rPr>
            </w:pPr>
          </w:p>
        </w:tc>
      </w:tr>
      <w:tr w:rsidR="007753E7" w:rsidRPr="002B2821" w14:paraId="57F2109F" w14:textId="77777777" w:rsidTr="00DE4819">
        <w:trPr>
          <w:gridAfter w:val="1"/>
          <w:wAfter w:w="141" w:type="dxa"/>
          <w:trHeight w:val="220"/>
        </w:trPr>
        <w:tc>
          <w:tcPr>
            <w:tcW w:w="261" w:type="dxa"/>
            <w:shd w:val="clear" w:color="auto" w:fill="auto"/>
            <w:noWrap/>
            <w:vAlign w:val="bottom"/>
            <w:hideMark/>
          </w:tcPr>
          <w:p w14:paraId="4E00A2DC"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0974B0A3"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5CA9011B"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5A9C42DF" w14:textId="77777777" w:rsidR="007753E7" w:rsidRPr="002B2821" w:rsidRDefault="007753E7" w:rsidP="00F9539E">
            <w:pPr>
              <w:spacing w:after="0" w:line="240" w:lineRule="auto"/>
              <w:rPr>
                <w:lang w:eastAsia="en-GB"/>
              </w:rPr>
            </w:pPr>
          </w:p>
        </w:tc>
        <w:tc>
          <w:tcPr>
            <w:tcW w:w="850" w:type="dxa"/>
            <w:gridSpan w:val="2"/>
            <w:shd w:val="clear" w:color="auto" w:fill="auto"/>
            <w:noWrap/>
            <w:vAlign w:val="bottom"/>
            <w:hideMark/>
          </w:tcPr>
          <w:p w14:paraId="37BE4B97" w14:textId="77777777" w:rsidR="007753E7" w:rsidRPr="002B2821" w:rsidRDefault="007753E7" w:rsidP="00F9539E">
            <w:pPr>
              <w:spacing w:after="0" w:line="240" w:lineRule="auto"/>
              <w:rPr>
                <w:lang w:eastAsia="en-GB"/>
              </w:rPr>
            </w:pPr>
          </w:p>
        </w:tc>
        <w:tc>
          <w:tcPr>
            <w:tcW w:w="1054" w:type="dxa"/>
            <w:tcBorders>
              <w:right w:val="single" w:sz="4" w:space="0" w:color="3C3C3C"/>
            </w:tcBorders>
            <w:shd w:val="clear" w:color="auto" w:fill="auto"/>
            <w:noWrap/>
            <w:vAlign w:val="bottom"/>
            <w:hideMark/>
          </w:tcPr>
          <w:p w14:paraId="1A66ACE2" w14:textId="77777777" w:rsidR="007753E7" w:rsidRPr="002B2821" w:rsidRDefault="007753E7" w:rsidP="00F9539E">
            <w:pPr>
              <w:spacing w:after="0" w:line="240" w:lineRule="auto"/>
              <w:rPr>
                <w:lang w:eastAsia="en-GB"/>
              </w:rPr>
            </w:pPr>
          </w:p>
        </w:tc>
        <w:tc>
          <w:tcPr>
            <w:tcW w:w="3057" w:type="dxa"/>
            <w:gridSpan w:val="3"/>
            <w:tcBorders>
              <w:top w:val="single" w:sz="4" w:space="0" w:color="3C3C3C"/>
              <w:left w:val="single" w:sz="4" w:space="0" w:color="3C3C3C"/>
              <w:right w:val="single" w:sz="4" w:space="0" w:color="3C3C3C"/>
            </w:tcBorders>
            <w:shd w:val="clear" w:color="auto" w:fill="auto"/>
            <w:noWrap/>
            <w:vAlign w:val="bottom"/>
            <w:hideMark/>
          </w:tcPr>
          <w:p w14:paraId="5A744218" w14:textId="77777777" w:rsidR="007753E7" w:rsidRDefault="007753E7" w:rsidP="00F9539E">
            <w:pPr>
              <w:spacing w:after="0" w:line="240" w:lineRule="auto"/>
              <w:jc w:val="center"/>
              <w:rPr>
                <w:rFonts w:ascii="Calibri" w:hAnsi="Calibri" w:cs="Arial"/>
                <w:b/>
                <w:bCs/>
                <w:color w:val="333399"/>
                <w:sz w:val="18"/>
                <w:szCs w:val="18"/>
                <w:lang w:eastAsia="en-GB"/>
              </w:rPr>
            </w:pPr>
            <w:r w:rsidRPr="00A67AC1">
              <w:rPr>
                <w:rFonts w:ascii="Calibri" w:hAnsi="Calibri" w:cs="Arial"/>
                <w:b/>
                <w:bCs/>
                <w:color w:val="333399"/>
                <w:sz w:val="18"/>
                <w:szCs w:val="18"/>
                <w:lang w:eastAsia="en-GB"/>
              </w:rPr>
              <w:t>Other costs</w:t>
            </w:r>
          </w:p>
          <w:p w14:paraId="70032973" w14:textId="77777777" w:rsidR="00DE4819" w:rsidRPr="002B2821" w:rsidRDefault="00DE4819" w:rsidP="00F9539E">
            <w:pPr>
              <w:spacing w:after="0" w:line="240" w:lineRule="auto"/>
              <w:jc w:val="center"/>
              <w:rPr>
                <w:lang w:eastAsia="en-GB"/>
              </w:rPr>
            </w:pPr>
          </w:p>
        </w:tc>
        <w:tc>
          <w:tcPr>
            <w:tcW w:w="993" w:type="dxa"/>
            <w:tcBorders>
              <w:left w:val="single" w:sz="4" w:space="0" w:color="3C3C3C"/>
            </w:tcBorders>
            <w:shd w:val="clear" w:color="auto" w:fill="auto"/>
            <w:noWrap/>
            <w:vAlign w:val="bottom"/>
            <w:hideMark/>
          </w:tcPr>
          <w:p w14:paraId="445A0854" w14:textId="77777777" w:rsidR="007753E7" w:rsidRPr="002B2821" w:rsidRDefault="007753E7" w:rsidP="00F9539E">
            <w:pPr>
              <w:spacing w:after="0" w:line="240" w:lineRule="auto"/>
              <w:rPr>
                <w:lang w:eastAsia="en-GB"/>
              </w:rPr>
            </w:pPr>
          </w:p>
        </w:tc>
        <w:tc>
          <w:tcPr>
            <w:tcW w:w="850" w:type="dxa"/>
            <w:shd w:val="clear" w:color="auto" w:fill="auto"/>
            <w:noWrap/>
            <w:vAlign w:val="bottom"/>
            <w:hideMark/>
          </w:tcPr>
          <w:p w14:paraId="4CFE598E" w14:textId="77777777" w:rsidR="007753E7" w:rsidRPr="002B2821" w:rsidRDefault="007753E7" w:rsidP="00F9539E">
            <w:pPr>
              <w:spacing w:after="0" w:line="240" w:lineRule="auto"/>
              <w:rPr>
                <w:lang w:eastAsia="en-GB"/>
              </w:rPr>
            </w:pPr>
          </w:p>
        </w:tc>
        <w:tc>
          <w:tcPr>
            <w:tcW w:w="851" w:type="dxa"/>
            <w:shd w:val="clear" w:color="auto" w:fill="auto"/>
            <w:noWrap/>
            <w:vAlign w:val="bottom"/>
            <w:hideMark/>
          </w:tcPr>
          <w:p w14:paraId="54BE6AA9"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280EB993" w14:textId="77777777" w:rsidR="007753E7" w:rsidRPr="002B2821" w:rsidRDefault="007753E7" w:rsidP="00F9539E">
            <w:pPr>
              <w:spacing w:after="0" w:line="240" w:lineRule="auto"/>
              <w:rPr>
                <w:lang w:eastAsia="en-GB"/>
              </w:rPr>
            </w:pPr>
          </w:p>
        </w:tc>
      </w:tr>
      <w:tr w:rsidR="007753E7" w:rsidRPr="002B2821" w14:paraId="6266188D" w14:textId="77777777" w:rsidTr="00DE4819">
        <w:trPr>
          <w:gridAfter w:val="1"/>
          <w:wAfter w:w="141" w:type="dxa"/>
          <w:trHeight w:val="220"/>
        </w:trPr>
        <w:tc>
          <w:tcPr>
            <w:tcW w:w="261" w:type="dxa"/>
            <w:shd w:val="clear" w:color="auto" w:fill="auto"/>
            <w:noWrap/>
            <w:vAlign w:val="bottom"/>
            <w:hideMark/>
          </w:tcPr>
          <w:p w14:paraId="7C7483E4"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1CF4C3C2" w14:textId="77777777" w:rsidR="007753E7" w:rsidRPr="00440592" w:rsidRDefault="007753E7" w:rsidP="00F9539E">
            <w:pPr>
              <w:spacing w:after="0" w:line="240" w:lineRule="auto"/>
              <w:rPr>
                <w:rFonts w:ascii="Calibri" w:hAnsi="Calibri" w:cs="Arial"/>
                <w:b/>
                <w:color w:val="000000"/>
                <w:sz w:val="18"/>
                <w:szCs w:val="18"/>
                <w:lang w:eastAsia="en-GB"/>
              </w:rPr>
            </w:pPr>
            <w:r w:rsidRPr="00440592">
              <w:rPr>
                <w:rFonts w:ascii="Calibri" w:hAnsi="Calibri" w:cs="Arial"/>
                <w:b/>
                <w:color w:val="000000"/>
                <w:sz w:val="18"/>
                <w:szCs w:val="18"/>
                <w:lang w:eastAsia="en-GB"/>
              </w:rPr>
              <w:t>Comparatives</w:t>
            </w:r>
          </w:p>
        </w:tc>
        <w:tc>
          <w:tcPr>
            <w:tcW w:w="714" w:type="dxa"/>
            <w:shd w:val="clear" w:color="auto" w:fill="auto"/>
            <w:noWrap/>
            <w:vAlign w:val="bottom"/>
            <w:hideMark/>
          </w:tcPr>
          <w:p w14:paraId="75069BC0" w14:textId="77777777" w:rsidR="007753E7" w:rsidRPr="002B2821" w:rsidRDefault="007753E7" w:rsidP="00F9539E">
            <w:pPr>
              <w:spacing w:after="0" w:line="240" w:lineRule="auto"/>
              <w:rPr>
                <w:rFonts w:ascii="Calibri" w:hAnsi="Calibri" w:cs="Arial"/>
                <w:color w:val="000000"/>
                <w:sz w:val="18"/>
                <w:szCs w:val="18"/>
                <w:lang w:eastAsia="en-GB"/>
              </w:rPr>
            </w:pPr>
          </w:p>
        </w:tc>
        <w:tc>
          <w:tcPr>
            <w:tcW w:w="1276" w:type="dxa"/>
            <w:shd w:val="clear" w:color="auto" w:fill="auto"/>
            <w:noWrap/>
            <w:vAlign w:val="bottom"/>
            <w:hideMark/>
          </w:tcPr>
          <w:p w14:paraId="19921062"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Investment</w:t>
            </w:r>
          </w:p>
        </w:tc>
        <w:tc>
          <w:tcPr>
            <w:tcW w:w="850" w:type="dxa"/>
            <w:gridSpan w:val="2"/>
            <w:shd w:val="clear" w:color="auto" w:fill="auto"/>
            <w:noWrap/>
            <w:vAlign w:val="bottom"/>
            <w:hideMark/>
          </w:tcPr>
          <w:p w14:paraId="138B4E5B"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Costs of Grant</w:t>
            </w:r>
          </w:p>
        </w:tc>
        <w:tc>
          <w:tcPr>
            <w:tcW w:w="1054" w:type="dxa"/>
            <w:tcBorders>
              <w:right w:val="single" w:sz="4" w:space="0" w:color="3C3C3C"/>
            </w:tcBorders>
            <w:shd w:val="clear" w:color="auto" w:fill="auto"/>
            <w:noWrap/>
            <w:vAlign w:val="bottom"/>
          </w:tcPr>
          <w:p w14:paraId="6249A8DC"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Beneficiary</w:t>
            </w:r>
          </w:p>
          <w:p w14:paraId="3EDFFBC7"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Support</w:t>
            </w:r>
          </w:p>
        </w:tc>
        <w:tc>
          <w:tcPr>
            <w:tcW w:w="1214" w:type="dxa"/>
            <w:tcBorders>
              <w:left w:val="single" w:sz="4" w:space="0" w:color="3C3C3C"/>
            </w:tcBorders>
            <w:shd w:val="clear" w:color="auto" w:fill="auto"/>
            <w:noWrap/>
            <w:vAlign w:val="bottom"/>
            <w:hideMark/>
          </w:tcPr>
          <w:p w14:paraId="31CAE4CD"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 xml:space="preserve">Governance </w:t>
            </w:r>
          </w:p>
        </w:tc>
        <w:tc>
          <w:tcPr>
            <w:tcW w:w="709" w:type="dxa"/>
            <w:shd w:val="clear" w:color="auto" w:fill="auto"/>
            <w:noWrap/>
            <w:vAlign w:val="bottom"/>
            <w:hideMark/>
          </w:tcPr>
          <w:p w14:paraId="4FB84857"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New</w:t>
            </w:r>
          </w:p>
        </w:tc>
        <w:tc>
          <w:tcPr>
            <w:tcW w:w="1134" w:type="dxa"/>
            <w:tcBorders>
              <w:right w:val="single" w:sz="4" w:space="0" w:color="3C3C3C"/>
            </w:tcBorders>
            <w:shd w:val="clear" w:color="auto" w:fill="auto"/>
            <w:noWrap/>
            <w:vAlign w:val="bottom"/>
            <w:hideMark/>
          </w:tcPr>
          <w:p w14:paraId="6BBC1076"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Campaigns</w:t>
            </w:r>
          </w:p>
        </w:tc>
        <w:tc>
          <w:tcPr>
            <w:tcW w:w="993" w:type="dxa"/>
            <w:tcBorders>
              <w:left w:val="single" w:sz="4" w:space="0" w:color="3C3C3C"/>
            </w:tcBorders>
            <w:shd w:val="clear" w:color="auto" w:fill="auto"/>
            <w:noWrap/>
            <w:vAlign w:val="bottom"/>
            <w:hideMark/>
          </w:tcPr>
          <w:p w14:paraId="28D07D6C"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Health Grant</w:t>
            </w:r>
          </w:p>
        </w:tc>
        <w:tc>
          <w:tcPr>
            <w:tcW w:w="850" w:type="dxa"/>
            <w:shd w:val="clear" w:color="auto" w:fill="auto"/>
            <w:noWrap/>
            <w:vAlign w:val="bottom"/>
            <w:hideMark/>
          </w:tcPr>
          <w:p w14:paraId="61686A21"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Totals</w:t>
            </w:r>
          </w:p>
        </w:tc>
        <w:tc>
          <w:tcPr>
            <w:tcW w:w="851" w:type="dxa"/>
            <w:shd w:val="clear" w:color="auto" w:fill="auto"/>
            <w:noWrap/>
            <w:vAlign w:val="bottom"/>
            <w:hideMark/>
          </w:tcPr>
          <w:p w14:paraId="7DBC6247"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238" w:type="dxa"/>
            <w:gridSpan w:val="2"/>
            <w:shd w:val="clear" w:color="auto" w:fill="auto"/>
            <w:noWrap/>
            <w:vAlign w:val="bottom"/>
            <w:hideMark/>
          </w:tcPr>
          <w:p w14:paraId="3F134C62" w14:textId="77777777" w:rsidR="007753E7" w:rsidRPr="002B2821" w:rsidRDefault="007753E7" w:rsidP="00F9539E">
            <w:pPr>
              <w:spacing w:after="0" w:line="240" w:lineRule="auto"/>
              <w:rPr>
                <w:lang w:eastAsia="en-GB"/>
              </w:rPr>
            </w:pPr>
          </w:p>
        </w:tc>
      </w:tr>
      <w:tr w:rsidR="007753E7" w:rsidRPr="002B2821" w14:paraId="29D15A85" w14:textId="77777777" w:rsidTr="00DE4819">
        <w:trPr>
          <w:gridAfter w:val="1"/>
          <w:wAfter w:w="141" w:type="dxa"/>
          <w:trHeight w:val="220"/>
        </w:trPr>
        <w:tc>
          <w:tcPr>
            <w:tcW w:w="261" w:type="dxa"/>
            <w:shd w:val="clear" w:color="auto" w:fill="auto"/>
            <w:noWrap/>
            <w:vAlign w:val="bottom"/>
            <w:hideMark/>
          </w:tcPr>
          <w:p w14:paraId="01C8C7F9"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0EAC3A68"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00495BF0"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1958BA7D"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Management</w:t>
            </w:r>
          </w:p>
        </w:tc>
        <w:tc>
          <w:tcPr>
            <w:tcW w:w="850" w:type="dxa"/>
            <w:gridSpan w:val="2"/>
            <w:shd w:val="clear" w:color="auto" w:fill="auto"/>
            <w:noWrap/>
            <w:vAlign w:val="bottom"/>
            <w:hideMark/>
          </w:tcPr>
          <w:p w14:paraId="7BF71F01"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Making</w:t>
            </w:r>
          </w:p>
        </w:tc>
        <w:tc>
          <w:tcPr>
            <w:tcW w:w="1054" w:type="dxa"/>
            <w:tcBorders>
              <w:right w:val="single" w:sz="4" w:space="0" w:color="3C3C3C"/>
            </w:tcBorders>
            <w:shd w:val="clear" w:color="auto" w:fill="auto"/>
            <w:noWrap/>
            <w:vAlign w:val="bottom"/>
          </w:tcPr>
          <w:p w14:paraId="526D7084"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Costs</w:t>
            </w:r>
          </w:p>
        </w:tc>
        <w:tc>
          <w:tcPr>
            <w:tcW w:w="1214" w:type="dxa"/>
            <w:tcBorders>
              <w:left w:val="single" w:sz="4" w:space="0" w:color="3C3C3C"/>
            </w:tcBorders>
            <w:shd w:val="clear" w:color="auto" w:fill="auto"/>
            <w:noWrap/>
            <w:vAlign w:val="bottom"/>
            <w:hideMark/>
          </w:tcPr>
          <w:p w14:paraId="4B824D72" w14:textId="77777777" w:rsidR="007753E7" w:rsidRPr="002B2821" w:rsidRDefault="007753E7" w:rsidP="00F9539E">
            <w:pPr>
              <w:spacing w:after="0" w:line="240" w:lineRule="auto"/>
              <w:rPr>
                <w:rFonts w:ascii="Calibri" w:hAnsi="Calibri" w:cs="Arial"/>
                <w:b/>
                <w:bCs/>
                <w:color w:val="333399"/>
                <w:sz w:val="18"/>
                <w:szCs w:val="18"/>
                <w:lang w:eastAsia="en-GB"/>
              </w:rPr>
            </w:pPr>
          </w:p>
        </w:tc>
        <w:tc>
          <w:tcPr>
            <w:tcW w:w="709" w:type="dxa"/>
            <w:shd w:val="clear" w:color="auto" w:fill="auto"/>
            <w:noWrap/>
            <w:vAlign w:val="bottom"/>
            <w:hideMark/>
          </w:tcPr>
          <w:p w14:paraId="60E1F1EB"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Claims</w:t>
            </w:r>
          </w:p>
        </w:tc>
        <w:tc>
          <w:tcPr>
            <w:tcW w:w="1134" w:type="dxa"/>
            <w:tcBorders>
              <w:right w:val="single" w:sz="4" w:space="0" w:color="3C3C3C"/>
            </w:tcBorders>
            <w:shd w:val="clear" w:color="auto" w:fill="auto"/>
            <w:noWrap/>
            <w:vAlign w:val="bottom"/>
            <w:hideMark/>
          </w:tcPr>
          <w:p w14:paraId="570AA69A"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993" w:type="dxa"/>
            <w:tcBorders>
              <w:left w:val="single" w:sz="4" w:space="0" w:color="3C3C3C"/>
            </w:tcBorders>
            <w:shd w:val="clear" w:color="auto" w:fill="auto"/>
            <w:noWrap/>
            <w:vAlign w:val="bottom"/>
            <w:hideMark/>
          </w:tcPr>
          <w:p w14:paraId="4EA640CE"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recharged</w:t>
            </w:r>
          </w:p>
        </w:tc>
        <w:tc>
          <w:tcPr>
            <w:tcW w:w="850" w:type="dxa"/>
            <w:shd w:val="clear" w:color="auto" w:fill="auto"/>
            <w:noWrap/>
            <w:vAlign w:val="bottom"/>
            <w:hideMark/>
          </w:tcPr>
          <w:p w14:paraId="5B10F706" w14:textId="77777777" w:rsidR="007753E7" w:rsidRPr="002B2821" w:rsidRDefault="007753E7"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2017</w:t>
            </w:r>
          </w:p>
        </w:tc>
        <w:tc>
          <w:tcPr>
            <w:tcW w:w="851" w:type="dxa"/>
            <w:shd w:val="clear" w:color="auto" w:fill="auto"/>
            <w:noWrap/>
            <w:vAlign w:val="bottom"/>
            <w:hideMark/>
          </w:tcPr>
          <w:p w14:paraId="34E1995E"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238" w:type="dxa"/>
            <w:gridSpan w:val="2"/>
            <w:shd w:val="clear" w:color="auto" w:fill="auto"/>
            <w:noWrap/>
            <w:vAlign w:val="bottom"/>
            <w:hideMark/>
          </w:tcPr>
          <w:p w14:paraId="4DC56C1C" w14:textId="77777777" w:rsidR="007753E7" w:rsidRPr="002B2821" w:rsidRDefault="007753E7" w:rsidP="00F9539E">
            <w:pPr>
              <w:spacing w:after="0" w:line="240" w:lineRule="auto"/>
              <w:rPr>
                <w:lang w:eastAsia="en-GB"/>
              </w:rPr>
            </w:pPr>
          </w:p>
        </w:tc>
      </w:tr>
      <w:tr w:rsidR="007753E7" w:rsidRPr="002B2821" w14:paraId="77843259" w14:textId="77777777" w:rsidTr="00DE4819">
        <w:trPr>
          <w:gridAfter w:val="1"/>
          <w:wAfter w:w="141" w:type="dxa"/>
          <w:trHeight w:val="220"/>
        </w:trPr>
        <w:tc>
          <w:tcPr>
            <w:tcW w:w="261" w:type="dxa"/>
            <w:shd w:val="clear" w:color="auto" w:fill="auto"/>
            <w:noWrap/>
            <w:vAlign w:val="bottom"/>
            <w:hideMark/>
          </w:tcPr>
          <w:p w14:paraId="5F8A6CD1"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5C7D7939"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54A05DBE"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27391A4A" w14:textId="77777777" w:rsidR="007753E7" w:rsidRPr="002B2821" w:rsidRDefault="007753E7" w:rsidP="00F9539E">
            <w:pPr>
              <w:spacing w:after="0" w:line="240" w:lineRule="auto"/>
              <w:rPr>
                <w:lang w:eastAsia="en-GB"/>
              </w:rPr>
            </w:pPr>
          </w:p>
        </w:tc>
        <w:tc>
          <w:tcPr>
            <w:tcW w:w="850" w:type="dxa"/>
            <w:gridSpan w:val="2"/>
            <w:shd w:val="clear" w:color="auto" w:fill="auto"/>
            <w:noWrap/>
            <w:vAlign w:val="bottom"/>
            <w:hideMark/>
          </w:tcPr>
          <w:p w14:paraId="54B261AC" w14:textId="77777777" w:rsidR="007753E7" w:rsidRPr="002B2821" w:rsidRDefault="007753E7" w:rsidP="00F9539E">
            <w:pPr>
              <w:spacing w:after="0" w:line="240" w:lineRule="auto"/>
              <w:jc w:val="right"/>
              <w:rPr>
                <w:lang w:eastAsia="en-GB"/>
              </w:rPr>
            </w:pPr>
          </w:p>
        </w:tc>
        <w:tc>
          <w:tcPr>
            <w:tcW w:w="1054" w:type="dxa"/>
            <w:tcBorders>
              <w:right w:val="single" w:sz="4" w:space="0" w:color="3C3C3C"/>
            </w:tcBorders>
            <w:shd w:val="clear" w:color="auto" w:fill="auto"/>
            <w:noWrap/>
            <w:vAlign w:val="bottom"/>
          </w:tcPr>
          <w:p w14:paraId="5A59E6B0"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1214" w:type="dxa"/>
            <w:tcBorders>
              <w:left w:val="single" w:sz="4" w:space="0" w:color="3C3C3C"/>
            </w:tcBorders>
            <w:shd w:val="clear" w:color="auto" w:fill="auto"/>
            <w:noWrap/>
            <w:vAlign w:val="bottom"/>
            <w:hideMark/>
          </w:tcPr>
          <w:p w14:paraId="45F3DAA9"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709" w:type="dxa"/>
            <w:shd w:val="clear" w:color="auto" w:fill="auto"/>
            <w:noWrap/>
            <w:vAlign w:val="bottom"/>
            <w:hideMark/>
          </w:tcPr>
          <w:p w14:paraId="37184E60" w14:textId="77777777" w:rsidR="007753E7" w:rsidRPr="002B2821" w:rsidRDefault="007753E7" w:rsidP="00F9539E">
            <w:pPr>
              <w:spacing w:after="0" w:line="240" w:lineRule="auto"/>
              <w:jc w:val="right"/>
              <w:rPr>
                <w:lang w:eastAsia="en-GB"/>
              </w:rPr>
            </w:pPr>
          </w:p>
        </w:tc>
        <w:tc>
          <w:tcPr>
            <w:tcW w:w="1134" w:type="dxa"/>
            <w:tcBorders>
              <w:right w:val="single" w:sz="4" w:space="0" w:color="3C3C3C"/>
            </w:tcBorders>
            <w:shd w:val="clear" w:color="auto" w:fill="auto"/>
            <w:noWrap/>
            <w:vAlign w:val="bottom"/>
            <w:hideMark/>
          </w:tcPr>
          <w:p w14:paraId="3A838F91" w14:textId="77777777" w:rsidR="007753E7" w:rsidRPr="002B2821" w:rsidRDefault="007753E7" w:rsidP="00F9539E">
            <w:pPr>
              <w:spacing w:after="0" w:line="240" w:lineRule="auto"/>
              <w:jc w:val="right"/>
              <w:rPr>
                <w:lang w:eastAsia="en-GB"/>
              </w:rPr>
            </w:pPr>
          </w:p>
        </w:tc>
        <w:tc>
          <w:tcPr>
            <w:tcW w:w="993" w:type="dxa"/>
            <w:tcBorders>
              <w:left w:val="single" w:sz="4" w:space="0" w:color="3C3C3C"/>
            </w:tcBorders>
            <w:shd w:val="clear" w:color="auto" w:fill="auto"/>
            <w:noWrap/>
            <w:vAlign w:val="bottom"/>
            <w:hideMark/>
          </w:tcPr>
          <w:p w14:paraId="64278D95" w14:textId="20F9A57A" w:rsidR="007753E7" w:rsidRPr="002B2821" w:rsidRDefault="00DE4819" w:rsidP="00F9539E">
            <w:pPr>
              <w:spacing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costs</w:t>
            </w:r>
          </w:p>
        </w:tc>
        <w:tc>
          <w:tcPr>
            <w:tcW w:w="850" w:type="dxa"/>
            <w:shd w:val="clear" w:color="auto" w:fill="auto"/>
            <w:noWrap/>
            <w:vAlign w:val="bottom"/>
            <w:hideMark/>
          </w:tcPr>
          <w:p w14:paraId="5C6F7A26"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851" w:type="dxa"/>
            <w:shd w:val="clear" w:color="auto" w:fill="auto"/>
            <w:noWrap/>
            <w:vAlign w:val="bottom"/>
            <w:hideMark/>
          </w:tcPr>
          <w:p w14:paraId="3BADE8A9" w14:textId="77777777" w:rsidR="007753E7" w:rsidRPr="002B2821" w:rsidRDefault="007753E7" w:rsidP="00F9539E">
            <w:pPr>
              <w:spacing w:after="0" w:line="240" w:lineRule="auto"/>
              <w:jc w:val="right"/>
              <w:rPr>
                <w:lang w:eastAsia="en-GB"/>
              </w:rPr>
            </w:pPr>
          </w:p>
        </w:tc>
        <w:tc>
          <w:tcPr>
            <w:tcW w:w="238" w:type="dxa"/>
            <w:gridSpan w:val="2"/>
            <w:shd w:val="clear" w:color="auto" w:fill="auto"/>
            <w:noWrap/>
            <w:vAlign w:val="bottom"/>
            <w:hideMark/>
          </w:tcPr>
          <w:p w14:paraId="19C3619B" w14:textId="77777777" w:rsidR="007753E7" w:rsidRPr="002B2821" w:rsidRDefault="007753E7" w:rsidP="00F9539E">
            <w:pPr>
              <w:spacing w:after="0" w:line="240" w:lineRule="auto"/>
              <w:rPr>
                <w:lang w:eastAsia="en-GB"/>
              </w:rPr>
            </w:pPr>
          </w:p>
        </w:tc>
      </w:tr>
      <w:tr w:rsidR="007753E7" w:rsidRPr="002B2821" w14:paraId="3FED67BD" w14:textId="77777777" w:rsidTr="00DE4819">
        <w:trPr>
          <w:gridAfter w:val="1"/>
          <w:wAfter w:w="141" w:type="dxa"/>
          <w:trHeight w:val="220"/>
        </w:trPr>
        <w:tc>
          <w:tcPr>
            <w:tcW w:w="261" w:type="dxa"/>
            <w:shd w:val="clear" w:color="auto" w:fill="auto"/>
            <w:noWrap/>
            <w:vAlign w:val="bottom"/>
            <w:hideMark/>
          </w:tcPr>
          <w:p w14:paraId="258C85A2"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1AEF50BA"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69F89DE0"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01CD7DF5"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850" w:type="dxa"/>
            <w:gridSpan w:val="2"/>
            <w:shd w:val="clear" w:color="auto" w:fill="auto"/>
            <w:noWrap/>
            <w:vAlign w:val="bottom"/>
            <w:hideMark/>
          </w:tcPr>
          <w:p w14:paraId="4365E2D7"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054" w:type="dxa"/>
            <w:tcBorders>
              <w:right w:val="single" w:sz="4" w:space="0" w:color="3C3C3C"/>
            </w:tcBorders>
            <w:shd w:val="clear" w:color="auto" w:fill="auto"/>
            <w:noWrap/>
            <w:vAlign w:val="bottom"/>
            <w:hideMark/>
          </w:tcPr>
          <w:p w14:paraId="36BC2CD9"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214" w:type="dxa"/>
            <w:tcBorders>
              <w:left w:val="single" w:sz="4" w:space="0" w:color="3C3C3C"/>
            </w:tcBorders>
            <w:shd w:val="clear" w:color="auto" w:fill="auto"/>
            <w:noWrap/>
            <w:vAlign w:val="bottom"/>
            <w:hideMark/>
          </w:tcPr>
          <w:p w14:paraId="6C114A09"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709" w:type="dxa"/>
            <w:shd w:val="clear" w:color="auto" w:fill="auto"/>
            <w:noWrap/>
            <w:vAlign w:val="bottom"/>
            <w:hideMark/>
          </w:tcPr>
          <w:p w14:paraId="6E5226DD"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1134" w:type="dxa"/>
            <w:tcBorders>
              <w:right w:val="single" w:sz="4" w:space="0" w:color="3C3C3C"/>
            </w:tcBorders>
            <w:shd w:val="clear" w:color="auto" w:fill="auto"/>
            <w:noWrap/>
            <w:vAlign w:val="bottom"/>
            <w:hideMark/>
          </w:tcPr>
          <w:p w14:paraId="60A9E631"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993" w:type="dxa"/>
            <w:tcBorders>
              <w:left w:val="single" w:sz="4" w:space="0" w:color="3C3C3C"/>
            </w:tcBorders>
            <w:shd w:val="clear" w:color="auto" w:fill="auto"/>
            <w:noWrap/>
            <w:vAlign w:val="bottom"/>
            <w:hideMark/>
          </w:tcPr>
          <w:p w14:paraId="70F0D405"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850" w:type="dxa"/>
            <w:shd w:val="clear" w:color="auto" w:fill="auto"/>
            <w:noWrap/>
            <w:vAlign w:val="bottom"/>
            <w:hideMark/>
          </w:tcPr>
          <w:p w14:paraId="6202A512" w14:textId="77777777" w:rsidR="007753E7" w:rsidRPr="002B2821" w:rsidRDefault="007753E7" w:rsidP="00DE4819">
            <w:pPr>
              <w:spacing w:before="120" w:after="0" w:line="240" w:lineRule="auto"/>
              <w:jc w:val="right"/>
              <w:rPr>
                <w:rFonts w:ascii="Calibri" w:hAnsi="Calibri" w:cs="Arial"/>
                <w:b/>
                <w:bCs/>
                <w:color w:val="333399"/>
                <w:sz w:val="18"/>
                <w:szCs w:val="18"/>
                <w:lang w:eastAsia="en-GB"/>
              </w:rPr>
            </w:pPr>
            <w:r w:rsidRPr="002B2821">
              <w:rPr>
                <w:rFonts w:ascii="Calibri" w:hAnsi="Calibri" w:cs="Arial"/>
                <w:b/>
                <w:bCs/>
                <w:color w:val="333399"/>
                <w:sz w:val="18"/>
                <w:szCs w:val="18"/>
                <w:lang w:eastAsia="en-GB"/>
              </w:rPr>
              <w:t>£000s</w:t>
            </w:r>
          </w:p>
        </w:tc>
        <w:tc>
          <w:tcPr>
            <w:tcW w:w="851" w:type="dxa"/>
            <w:shd w:val="clear" w:color="auto" w:fill="auto"/>
            <w:noWrap/>
            <w:vAlign w:val="bottom"/>
            <w:hideMark/>
          </w:tcPr>
          <w:p w14:paraId="1A839B0D" w14:textId="77777777" w:rsidR="007753E7" w:rsidRPr="002B2821" w:rsidRDefault="007753E7" w:rsidP="00F9539E">
            <w:pPr>
              <w:spacing w:after="0" w:line="240" w:lineRule="auto"/>
              <w:jc w:val="right"/>
              <w:rPr>
                <w:rFonts w:ascii="Calibri" w:hAnsi="Calibri" w:cs="Arial"/>
                <w:b/>
                <w:bCs/>
                <w:color w:val="333399"/>
                <w:sz w:val="18"/>
                <w:szCs w:val="18"/>
                <w:lang w:eastAsia="en-GB"/>
              </w:rPr>
            </w:pPr>
          </w:p>
        </w:tc>
        <w:tc>
          <w:tcPr>
            <w:tcW w:w="238" w:type="dxa"/>
            <w:gridSpan w:val="2"/>
            <w:shd w:val="clear" w:color="auto" w:fill="auto"/>
            <w:noWrap/>
            <w:vAlign w:val="bottom"/>
            <w:hideMark/>
          </w:tcPr>
          <w:p w14:paraId="45E010B2" w14:textId="77777777" w:rsidR="007753E7" w:rsidRPr="002B2821" w:rsidRDefault="007753E7" w:rsidP="00F9539E">
            <w:pPr>
              <w:spacing w:after="0" w:line="240" w:lineRule="auto"/>
              <w:rPr>
                <w:lang w:eastAsia="en-GB"/>
              </w:rPr>
            </w:pPr>
          </w:p>
        </w:tc>
      </w:tr>
      <w:tr w:rsidR="007753E7" w:rsidRPr="002B2821" w14:paraId="7F3C21D6" w14:textId="77777777" w:rsidTr="00DE4819">
        <w:trPr>
          <w:gridAfter w:val="1"/>
          <w:wAfter w:w="141" w:type="dxa"/>
          <w:trHeight w:val="220"/>
        </w:trPr>
        <w:tc>
          <w:tcPr>
            <w:tcW w:w="261" w:type="dxa"/>
            <w:shd w:val="clear" w:color="auto" w:fill="auto"/>
            <w:noWrap/>
            <w:vAlign w:val="bottom"/>
            <w:hideMark/>
          </w:tcPr>
          <w:p w14:paraId="11B186CB" w14:textId="77777777" w:rsidR="007753E7" w:rsidRPr="002B2821" w:rsidRDefault="007753E7" w:rsidP="00F9539E">
            <w:pPr>
              <w:spacing w:after="0" w:line="240" w:lineRule="auto"/>
              <w:rPr>
                <w:lang w:eastAsia="en-GB"/>
              </w:rPr>
            </w:pPr>
          </w:p>
        </w:tc>
        <w:tc>
          <w:tcPr>
            <w:tcW w:w="1378" w:type="dxa"/>
            <w:gridSpan w:val="2"/>
            <w:shd w:val="clear" w:color="auto" w:fill="auto"/>
            <w:noWrap/>
            <w:vAlign w:val="bottom"/>
            <w:hideMark/>
          </w:tcPr>
          <w:p w14:paraId="628CD802" w14:textId="77777777" w:rsidR="007753E7" w:rsidRPr="002B2821" w:rsidRDefault="007753E7" w:rsidP="00F9539E">
            <w:pPr>
              <w:spacing w:after="0" w:line="240" w:lineRule="auto"/>
              <w:rPr>
                <w:lang w:eastAsia="en-GB"/>
              </w:rPr>
            </w:pPr>
          </w:p>
        </w:tc>
        <w:tc>
          <w:tcPr>
            <w:tcW w:w="714" w:type="dxa"/>
            <w:shd w:val="clear" w:color="auto" w:fill="auto"/>
            <w:noWrap/>
            <w:vAlign w:val="bottom"/>
            <w:hideMark/>
          </w:tcPr>
          <w:p w14:paraId="5047C2C1"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6C0753E2" w14:textId="77777777" w:rsidR="007753E7" w:rsidRPr="002B2821" w:rsidRDefault="007753E7" w:rsidP="00F9539E">
            <w:pPr>
              <w:spacing w:after="0" w:line="240" w:lineRule="auto"/>
              <w:rPr>
                <w:lang w:eastAsia="en-GB"/>
              </w:rPr>
            </w:pPr>
          </w:p>
        </w:tc>
        <w:tc>
          <w:tcPr>
            <w:tcW w:w="850" w:type="dxa"/>
            <w:gridSpan w:val="2"/>
            <w:shd w:val="clear" w:color="auto" w:fill="auto"/>
            <w:noWrap/>
            <w:vAlign w:val="bottom"/>
            <w:hideMark/>
          </w:tcPr>
          <w:p w14:paraId="7029E2E9" w14:textId="77777777" w:rsidR="007753E7" w:rsidRPr="002B2821" w:rsidRDefault="007753E7" w:rsidP="00F9539E">
            <w:pPr>
              <w:spacing w:after="0" w:line="240" w:lineRule="auto"/>
              <w:rPr>
                <w:lang w:eastAsia="en-GB"/>
              </w:rPr>
            </w:pPr>
          </w:p>
        </w:tc>
        <w:tc>
          <w:tcPr>
            <w:tcW w:w="1054" w:type="dxa"/>
            <w:tcBorders>
              <w:right w:val="single" w:sz="4" w:space="0" w:color="3C3C3C"/>
            </w:tcBorders>
            <w:shd w:val="clear" w:color="auto" w:fill="auto"/>
            <w:noWrap/>
            <w:vAlign w:val="bottom"/>
            <w:hideMark/>
          </w:tcPr>
          <w:p w14:paraId="11F2EE5F" w14:textId="77777777" w:rsidR="007753E7" w:rsidRPr="002B2821" w:rsidRDefault="007753E7" w:rsidP="00F9539E">
            <w:pPr>
              <w:spacing w:after="0" w:line="240" w:lineRule="auto"/>
              <w:rPr>
                <w:lang w:eastAsia="en-GB"/>
              </w:rPr>
            </w:pPr>
          </w:p>
        </w:tc>
        <w:tc>
          <w:tcPr>
            <w:tcW w:w="1214" w:type="dxa"/>
            <w:tcBorders>
              <w:left w:val="single" w:sz="4" w:space="0" w:color="3C3C3C"/>
            </w:tcBorders>
            <w:shd w:val="clear" w:color="auto" w:fill="auto"/>
            <w:noWrap/>
            <w:vAlign w:val="bottom"/>
            <w:hideMark/>
          </w:tcPr>
          <w:p w14:paraId="2FAF7161" w14:textId="77777777" w:rsidR="007753E7" w:rsidRPr="002B2821" w:rsidRDefault="007753E7" w:rsidP="00F9539E">
            <w:pPr>
              <w:spacing w:after="0" w:line="240" w:lineRule="auto"/>
              <w:rPr>
                <w:lang w:eastAsia="en-GB"/>
              </w:rPr>
            </w:pPr>
          </w:p>
        </w:tc>
        <w:tc>
          <w:tcPr>
            <w:tcW w:w="709" w:type="dxa"/>
            <w:shd w:val="clear" w:color="auto" w:fill="auto"/>
            <w:noWrap/>
            <w:vAlign w:val="bottom"/>
            <w:hideMark/>
          </w:tcPr>
          <w:p w14:paraId="789D58EC" w14:textId="77777777" w:rsidR="007753E7" w:rsidRPr="002B2821" w:rsidRDefault="007753E7" w:rsidP="00F9539E">
            <w:pPr>
              <w:spacing w:after="0" w:line="240" w:lineRule="auto"/>
              <w:rPr>
                <w:lang w:eastAsia="en-GB"/>
              </w:rPr>
            </w:pPr>
          </w:p>
        </w:tc>
        <w:tc>
          <w:tcPr>
            <w:tcW w:w="1134" w:type="dxa"/>
            <w:tcBorders>
              <w:right w:val="single" w:sz="4" w:space="0" w:color="3C3C3C"/>
            </w:tcBorders>
            <w:shd w:val="clear" w:color="auto" w:fill="auto"/>
            <w:noWrap/>
            <w:vAlign w:val="bottom"/>
            <w:hideMark/>
          </w:tcPr>
          <w:p w14:paraId="476948E6" w14:textId="77777777" w:rsidR="007753E7" w:rsidRPr="002B2821" w:rsidRDefault="007753E7" w:rsidP="00F9539E">
            <w:pPr>
              <w:spacing w:after="0" w:line="240" w:lineRule="auto"/>
              <w:rPr>
                <w:lang w:eastAsia="en-GB"/>
              </w:rPr>
            </w:pPr>
          </w:p>
        </w:tc>
        <w:tc>
          <w:tcPr>
            <w:tcW w:w="993" w:type="dxa"/>
            <w:tcBorders>
              <w:left w:val="single" w:sz="4" w:space="0" w:color="3C3C3C"/>
            </w:tcBorders>
            <w:shd w:val="clear" w:color="auto" w:fill="auto"/>
            <w:noWrap/>
            <w:vAlign w:val="bottom"/>
            <w:hideMark/>
          </w:tcPr>
          <w:p w14:paraId="2D1E8070" w14:textId="77777777" w:rsidR="007753E7" w:rsidRPr="002B2821" w:rsidRDefault="007753E7" w:rsidP="00F9539E">
            <w:pPr>
              <w:spacing w:after="0" w:line="240" w:lineRule="auto"/>
              <w:rPr>
                <w:lang w:eastAsia="en-GB"/>
              </w:rPr>
            </w:pPr>
          </w:p>
        </w:tc>
        <w:tc>
          <w:tcPr>
            <w:tcW w:w="850" w:type="dxa"/>
            <w:shd w:val="clear" w:color="auto" w:fill="auto"/>
            <w:noWrap/>
            <w:vAlign w:val="bottom"/>
            <w:hideMark/>
          </w:tcPr>
          <w:p w14:paraId="06321D36" w14:textId="77777777" w:rsidR="007753E7" w:rsidRPr="002B2821" w:rsidRDefault="007753E7" w:rsidP="00F9539E">
            <w:pPr>
              <w:spacing w:after="0" w:line="240" w:lineRule="auto"/>
              <w:rPr>
                <w:lang w:eastAsia="en-GB"/>
              </w:rPr>
            </w:pPr>
          </w:p>
        </w:tc>
        <w:tc>
          <w:tcPr>
            <w:tcW w:w="851" w:type="dxa"/>
            <w:shd w:val="clear" w:color="auto" w:fill="auto"/>
            <w:noWrap/>
            <w:vAlign w:val="bottom"/>
            <w:hideMark/>
          </w:tcPr>
          <w:p w14:paraId="4B974FE6"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06E0F5A3" w14:textId="77777777" w:rsidR="007753E7" w:rsidRPr="002B2821" w:rsidRDefault="007753E7" w:rsidP="00F9539E">
            <w:pPr>
              <w:spacing w:after="0" w:line="240" w:lineRule="auto"/>
              <w:rPr>
                <w:lang w:eastAsia="en-GB"/>
              </w:rPr>
            </w:pPr>
          </w:p>
        </w:tc>
      </w:tr>
      <w:tr w:rsidR="007753E7" w:rsidRPr="002B2821" w14:paraId="04F67437" w14:textId="77777777" w:rsidTr="00DE4819">
        <w:trPr>
          <w:gridAfter w:val="1"/>
          <w:wAfter w:w="141" w:type="dxa"/>
          <w:trHeight w:val="234"/>
        </w:trPr>
        <w:tc>
          <w:tcPr>
            <w:tcW w:w="261" w:type="dxa"/>
            <w:shd w:val="clear" w:color="auto" w:fill="auto"/>
            <w:noWrap/>
            <w:vAlign w:val="bottom"/>
            <w:hideMark/>
          </w:tcPr>
          <w:p w14:paraId="40EB14B7"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158681A1"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Staff and other HR Costs</w:t>
            </w:r>
          </w:p>
        </w:tc>
        <w:tc>
          <w:tcPr>
            <w:tcW w:w="1276" w:type="dxa"/>
            <w:shd w:val="clear" w:color="auto" w:fill="auto"/>
            <w:noWrap/>
            <w:vAlign w:val="bottom"/>
            <w:hideMark/>
          </w:tcPr>
          <w:p w14:paraId="6427CC7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12</w:t>
            </w:r>
          </w:p>
        </w:tc>
        <w:tc>
          <w:tcPr>
            <w:tcW w:w="850" w:type="dxa"/>
            <w:gridSpan w:val="2"/>
            <w:shd w:val="clear" w:color="auto" w:fill="auto"/>
            <w:noWrap/>
            <w:vAlign w:val="bottom"/>
            <w:hideMark/>
          </w:tcPr>
          <w:p w14:paraId="65DBB5F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30</w:t>
            </w:r>
          </w:p>
        </w:tc>
        <w:tc>
          <w:tcPr>
            <w:tcW w:w="1054" w:type="dxa"/>
            <w:tcBorders>
              <w:right w:val="single" w:sz="4" w:space="0" w:color="3C3C3C"/>
            </w:tcBorders>
            <w:shd w:val="clear" w:color="auto" w:fill="auto"/>
            <w:noWrap/>
            <w:vAlign w:val="bottom"/>
            <w:hideMark/>
          </w:tcPr>
          <w:p w14:paraId="38DFA7AE"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255</w:t>
            </w:r>
          </w:p>
        </w:tc>
        <w:tc>
          <w:tcPr>
            <w:tcW w:w="1214" w:type="dxa"/>
            <w:tcBorders>
              <w:left w:val="single" w:sz="4" w:space="0" w:color="3C3C3C"/>
            </w:tcBorders>
            <w:shd w:val="clear" w:color="auto" w:fill="auto"/>
            <w:noWrap/>
            <w:vAlign w:val="bottom"/>
            <w:hideMark/>
          </w:tcPr>
          <w:p w14:paraId="7730A2D6"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29</w:t>
            </w:r>
          </w:p>
        </w:tc>
        <w:tc>
          <w:tcPr>
            <w:tcW w:w="709" w:type="dxa"/>
            <w:shd w:val="clear" w:color="auto" w:fill="auto"/>
            <w:noWrap/>
            <w:vAlign w:val="bottom"/>
            <w:hideMark/>
          </w:tcPr>
          <w:p w14:paraId="1FE3E9C6"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30</w:t>
            </w:r>
          </w:p>
        </w:tc>
        <w:tc>
          <w:tcPr>
            <w:tcW w:w="1134" w:type="dxa"/>
            <w:tcBorders>
              <w:right w:val="single" w:sz="4" w:space="0" w:color="3C3C3C"/>
            </w:tcBorders>
            <w:shd w:val="clear" w:color="auto" w:fill="auto"/>
            <w:noWrap/>
            <w:vAlign w:val="bottom"/>
            <w:hideMark/>
          </w:tcPr>
          <w:p w14:paraId="058C187D"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6</w:t>
            </w:r>
          </w:p>
        </w:tc>
        <w:tc>
          <w:tcPr>
            <w:tcW w:w="993" w:type="dxa"/>
            <w:tcBorders>
              <w:left w:val="single" w:sz="4" w:space="0" w:color="3C3C3C"/>
            </w:tcBorders>
            <w:shd w:val="clear" w:color="auto" w:fill="auto"/>
            <w:noWrap/>
            <w:vAlign w:val="bottom"/>
            <w:hideMark/>
          </w:tcPr>
          <w:p w14:paraId="6A9438CB" w14:textId="77777777" w:rsidR="007753E7" w:rsidRPr="00393353" w:rsidRDefault="007753E7" w:rsidP="00F9539E">
            <w:pPr>
              <w:spacing w:after="0" w:line="240" w:lineRule="auto"/>
              <w:jc w:val="right"/>
              <w:rPr>
                <w:rFonts w:ascii="Calibri" w:hAnsi="Calibri" w:cs="Arial"/>
                <w:sz w:val="18"/>
                <w:szCs w:val="18"/>
                <w:lang w:eastAsia="en-GB"/>
              </w:rPr>
            </w:pPr>
            <w:r w:rsidRPr="00DD7A47">
              <w:rPr>
                <w:rFonts w:ascii="Calibri" w:hAnsi="Calibri" w:cs="Arial"/>
                <w:sz w:val="18"/>
                <w:szCs w:val="18"/>
                <w:lang w:eastAsia="en-GB"/>
              </w:rPr>
              <w:t>244</w:t>
            </w:r>
          </w:p>
        </w:tc>
        <w:tc>
          <w:tcPr>
            <w:tcW w:w="850" w:type="dxa"/>
            <w:shd w:val="clear" w:color="auto" w:fill="auto"/>
            <w:noWrap/>
            <w:vAlign w:val="bottom"/>
            <w:hideMark/>
          </w:tcPr>
          <w:p w14:paraId="5353A53A"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606</w:t>
            </w:r>
          </w:p>
        </w:tc>
        <w:tc>
          <w:tcPr>
            <w:tcW w:w="851" w:type="dxa"/>
            <w:shd w:val="clear" w:color="auto" w:fill="auto"/>
            <w:noWrap/>
            <w:vAlign w:val="bottom"/>
            <w:hideMark/>
          </w:tcPr>
          <w:p w14:paraId="4AF687F9"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6ECB367E" w14:textId="77777777" w:rsidR="007753E7" w:rsidRPr="002B2821" w:rsidRDefault="007753E7" w:rsidP="00F9539E">
            <w:pPr>
              <w:spacing w:after="0" w:line="240" w:lineRule="auto"/>
              <w:rPr>
                <w:lang w:eastAsia="en-GB"/>
              </w:rPr>
            </w:pPr>
          </w:p>
        </w:tc>
      </w:tr>
      <w:tr w:rsidR="007753E7" w:rsidRPr="002B2821" w14:paraId="2BC626E3" w14:textId="77777777" w:rsidTr="00DE4819">
        <w:trPr>
          <w:gridAfter w:val="1"/>
          <w:wAfter w:w="141" w:type="dxa"/>
          <w:trHeight w:val="234"/>
        </w:trPr>
        <w:tc>
          <w:tcPr>
            <w:tcW w:w="261" w:type="dxa"/>
            <w:shd w:val="clear" w:color="auto" w:fill="auto"/>
            <w:noWrap/>
            <w:vAlign w:val="bottom"/>
            <w:hideMark/>
          </w:tcPr>
          <w:p w14:paraId="7DD51FF1"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74376911"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Administration and Running Costs</w:t>
            </w:r>
          </w:p>
        </w:tc>
        <w:tc>
          <w:tcPr>
            <w:tcW w:w="1276" w:type="dxa"/>
            <w:shd w:val="clear" w:color="auto" w:fill="auto"/>
            <w:noWrap/>
            <w:vAlign w:val="bottom"/>
            <w:hideMark/>
          </w:tcPr>
          <w:p w14:paraId="0CC6AF9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9</w:t>
            </w:r>
          </w:p>
        </w:tc>
        <w:tc>
          <w:tcPr>
            <w:tcW w:w="850" w:type="dxa"/>
            <w:gridSpan w:val="2"/>
            <w:shd w:val="clear" w:color="auto" w:fill="auto"/>
            <w:noWrap/>
            <w:vAlign w:val="bottom"/>
            <w:hideMark/>
          </w:tcPr>
          <w:p w14:paraId="3D4AAB1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54</w:t>
            </w:r>
          </w:p>
        </w:tc>
        <w:tc>
          <w:tcPr>
            <w:tcW w:w="1054" w:type="dxa"/>
            <w:tcBorders>
              <w:right w:val="single" w:sz="4" w:space="0" w:color="3C3C3C"/>
            </w:tcBorders>
            <w:shd w:val="clear" w:color="auto" w:fill="auto"/>
            <w:noWrap/>
            <w:vAlign w:val="bottom"/>
            <w:hideMark/>
          </w:tcPr>
          <w:p w14:paraId="7492618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101</w:t>
            </w:r>
          </w:p>
        </w:tc>
        <w:tc>
          <w:tcPr>
            <w:tcW w:w="1214" w:type="dxa"/>
            <w:tcBorders>
              <w:left w:val="single" w:sz="4" w:space="0" w:color="3C3C3C"/>
            </w:tcBorders>
            <w:shd w:val="clear" w:color="auto" w:fill="auto"/>
            <w:noWrap/>
            <w:vAlign w:val="bottom"/>
            <w:hideMark/>
          </w:tcPr>
          <w:p w14:paraId="2EB45F85" w14:textId="77777777" w:rsidR="007753E7" w:rsidRPr="00393353" w:rsidRDefault="007753E7" w:rsidP="00F9539E">
            <w:pPr>
              <w:spacing w:after="0" w:line="240" w:lineRule="auto"/>
              <w:jc w:val="right"/>
              <w:rPr>
                <w:rFonts w:ascii="Calibri" w:hAnsi="Calibri" w:cs="Arial"/>
                <w:sz w:val="18"/>
                <w:szCs w:val="18"/>
                <w:lang w:eastAsia="en-GB"/>
              </w:rPr>
            </w:pPr>
            <w:r w:rsidRPr="00DD7A47">
              <w:rPr>
                <w:rFonts w:ascii="Calibri" w:hAnsi="Calibri" w:cs="Arial"/>
                <w:sz w:val="18"/>
                <w:szCs w:val="18"/>
                <w:lang w:eastAsia="en-GB"/>
              </w:rPr>
              <w:t>16</w:t>
            </w:r>
          </w:p>
        </w:tc>
        <w:tc>
          <w:tcPr>
            <w:tcW w:w="709" w:type="dxa"/>
            <w:shd w:val="clear" w:color="auto" w:fill="auto"/>
            <w:noWrap/>
            <w:vAlign w:val="bottom"/>
            <w:hideMark/>
          </w:tcPr>
          <w:p w14:paraId="58C1454F"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w:t>
            </w:r>
          </w:p>
        </w:tc>
        <w:tc>
          <w:tcPr>
            <w:tcW w:w="1134" w:type="dxa"/>
            <w:tcBorders>
              <w:right w:val="single" w:sz="4" w:space="0" w:color="3C3C3C"/>
            </w:tcBorders>
            <w:shd w:val="clear" w:color="auto" w:fill="auto"/>
            <w:noWrap/>
            <w:vAlign w:val="bottom"/>
            <w:hideMark/>
          </w:tcPr>
          <w:p w14:paraId="098CD94B"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993" w:type="dxa"/>
            <w:tcBorders>
              <w:left w:val="single" w:sz="4" w:space="0" w:color="3C3C3C"/>
            </w:tcBorders>
            <w:shd w:val="clear" w:color="auto" w:fill="auto"/>
            <w:noWrap/>
            <w:vAlign w:val="bottom"/>
            <w:hideMark/>
          </w:tcPr>
          <w:p w14:paraId="7B78D3CE" w14:textId="77777777" w:rsidR="007753E7" w:rsidRPr="00393353" w:rsidRDefault="007753E7" w:rsidP="00F9539E">
            <w:pPr>
              <w:spacing w:after="0" w:line="240" w:lineRule="auto"/>
              <w:jc w:val="right"/>
              <w:rPr>
                <w:rFonts w:ascii="Calibri" w:hAnsi="Calibri" w:cs="Arial"/>
                <w:sz w:val="18"/>
                <w:szCs w:val="18"/>
                <w:lang w:eastAsia="en-GB"/>
              </w:rPr>
            </w:pPr>
            <w:r w:rsidRPr="00DD7A47">
              <w:rPr>
                <w:rFonts w:ascii="Calibri" w:hAnsi="Calibri" w:cs="Arial"/>
                <w:sz w:val="18"/>
                <w:szCs w:val="18"/>
                <w:lang w:eastAsia="en-GB"/>
              </w:rPr>
              <w:t>94</w:t>
            </w:r>
          </w:p>
        </w:tc>
        <w:tc>
          <w:tcPr>
            <w:tcW w:w="850" w:type="dxa"/>
            <w:shd w:val="clear" w:color="auto" w:fill="auto"/>
            <w:noWrap/>
            <w:vAlign w:val="bottom"/>
            <w:hideMark/>
          </w:tcPr>
          <w:p w14:paraId="65628390"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277</w:t>
            </w:r>
          </w:p>
        </w:tc>
        <w:tc>
          <w:tcPr>
            <w:tcW w:w="851" w:type="dxa"/>
            <w:shd w:val="clear" w:color="auto" w:fill="auto"/>
            <w:noWrap/>
            <w:vAlign w:val="bottom"/>
            <w:hideMark/>
          </w:tcPr>
          <w:p w14:paraId="0F5E23BA"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298D4614" w14:textId="77777777" w:rsidR="007753E7" w:rsidRPr="002B2821" w:rsidRDefault="007753E7" w:rsidP="00F9539E">
            <w:pPr>
              <w:spacing w:after="0" w:line="240" w:lineRule="auto"/>
              <w:rPr>
                <w:lang w:eastAsia="en-GB"/>
              </w:rPr>
            </w:pPr>
          </w:p>
        </w:tc>
      </w:tr>
      <w:tr w:rsidR="007753E7" w:rsidRPr="002B2821" w14:paraId="78B13A3E" w14:textId="77777777" w:rsidTr="00DE4819">
        <w:trPr>
          <w:gridAfter w:val="1"/>
          <w:wAfter w:w="141" w:type="dxa"/>
          <w:trHeight w:val="234"/>
        </w:trPr>
        <w:tc>
          <w:tcPr>
            <w:tcW w:w="261" w:type="dxa"/>
            <w:shd w:val="clear" w:color="auto" w:fill="auto"/>
            <w:noWrap/>
            <w:vAlign w:val="bottom"/>
            <w:hideMark/>
          </w:tcPr>
          <w:p w14:paraId="6BCEA017"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70E07316"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Investment Management Fees</w:t>
            </w:r>
          </w:p>
        </w:tc>
        <w:tc>
          <w:tcPr>
            <w:tcW w:w="1276" w:type="dxa"/>
            <w:shd w:val="clear" w:color="auto" w:fill="auto"/>
            <w:noWrap/>
            <w:vAlign w:val="bottom"/>
            <w:hideMark/>
          </w:tcPr>
          <w:p w14:paraId="6DAC0003"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350</w:t>
            </w:r>
          </w:p>
        </w:tc>
        <w:tc>
          <w:tcPr>
            <w:tcW w:w="850" w:type="dxa"/>
            <w:gridSpan w:val="2"/>
            <w:shd w:val="clear" w:color="auto" w:fill="auto"/>
            <w:noWrap/>
            <w:vAlign w:val="bottom"/>
            <w:hideMark/>
          </w:tcPr>
          <w:p w14:paraId="7A89580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3C3C3C"/>
            </w:tcBorders>
            <w:shd w:val="clear" w:color="auto" w:fill="auto"/>
            <w:noWrap/>
            <w:vAlign w:val="bottom"/>
            <w:hideMark/>
          </w:tcPr>
          <w:p w14:paraId="02028512"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214" w:type="dxa"/>
            <w:tcBorders>
              <w:left w:val="single" w:sz="4" w:space="0" w:color="3C3C3C"/>
            </w:tcBorders>
            <w:shd w:val="clear" w:color="auto" w:fill="auto"/>
            <w:noWrap/>
            <w:vAlign w:val="bottom"/>
            <w:hideMark/>
          </w:tcPr>
          <w:p w14:paraId="35B7C181"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709" w:type="dxa"/>
            <w:shd w:val="clear" w:color="auto" w:fill="auto"/>
            <w:noWrap/>
            <w:vAlign w:val="bottom"/>
            <w:hideMark/>
          </w:tcPr>
          <w:p w14:paraId="65875405"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1134" w:type="dxa"/>
            <w:tcBorders>
              <w:right w:val="single" w:sz="4" w:space="0" w:color="3C3C3C"/>
            </w:tcBorders>
            <w:shd w:val="clear" w:color="auto" w:fill="auto"/>
            <w:noWrap/>
            <w:vAlign w:val="bottom"/>
            <w:hideMark/>
          </w:tcPr>
          <w:p w14:paraId="13AF32B7"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993" w:type="dxa"/>
            <w:tcBorders>
              <w:left w:val="single" w:sz="4" w:space="0" w:color="3C3C3C"/>
            </w:tcBorders>
            <w:shd w:val="clear" w:color="auto" w:fill="auto"/>
            <w:noWrap/>
            <w:vAlign w:val="bottom"/>
            <w:hideMark/>
          </w:tcPr>
          <w:p w14:paraId="4339435D"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850" w:type="dxa"/>
            <w:shd w:val="clear" w:color="auto" w:fill="auto"/>
            <w:noWrap/>
            <w:vAlign w:val="bottom"/>
            <w:hideMark/>
          </w:tcPr>
          <w:p w14:paraId="06DA190F"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350</w:t>
            </w:r>
          </w:p>
        </w:tc>
        <w:tc>
          <w:tcPr>
            <w:tcW w:w="851" w:type="dxa"/>
            <w:shd w:val="clear" w:color="auto" w:fill="auto"/>
            <w:noWrap/>
            <w:vAlign w:val="bottom"/>
            <w:hideMark/>
          </w:tcPr>
          <w:p w14:paraId="780018DB"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36C6838B" w14:textId="77777777" w:rsidR="007753E7" w:rsidRPr="002B2821" w:rsidRDefault="007753E7" w:rsidP="00F9539E">
            <w:pPr>
              <w:spacing w:after="0" w:line="240" w:lineRule="auto"/>
              <w:rPr>
                <w:lang w:eastAsia="en-GB"/>
              </w:rPr>
            </w:pPr>
          </w:p>
        </w:tc>
      </w:tr>
      <w:tr w:rsidR="007753E7" w:rsidRPr="002B2821" w14:paraId="608035E9" w14:textId="77777777" w:rsidTr="00DE4819">
        <w:trPr>
          <w:gridAfter w:val="1"/>
          <w:wAfter w:w="141" w:type="dxa"/>
          <w:trHeight w:val="234"/>
        </w:trPr>
        <w:tc>
          <w:tcPr>
            <w:tcW w:w="261" w:type="dxa"/>
            <w:shd w:val="clear" w:color="auto" w:fill="auto"/>
            <w:noWrap/>
            <w:vAlign w:val="bottom"/>
            <w:hideMark/>
          </w:tcPr>
          <w:p w14:paraId="4214590E"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hideMark/>
          </w:tcPr>
          <w:p w14:paraId="21A943BB"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Legal, Professional and Audit fees</w:t>
            </w:r>
          </w:p>
        </w:tc>
        <w:tc>
          <w:tcPr>
            <w:tcW w:w="1276" w:type="dxa"/>
            <w:shd w:val="clear" w:color="auto" w:fill="auto"/>
            <w:noWrap/>
            <w:vAlign w:val="bottom"/>
            <w:hideMark/>
          </w:tcPr>
          <w:p w14:paraId="75982802"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6943D51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25</w:t>
            </w:r>
          </w:p>
        </w:tc>
        <w:tc>
          <w:tcPr>
            <w:tcW w:w="1054" w:type="dxa"/>
            <w:tcBorders>
              <w:right w:val="single" w:sz="4" w:space="0" w:color="3C3C3C"/>
            </w:tcBorders>
            <w:shd w:val="clear" w:color="auto" w:fill="auto"/>
            <w:noWrap/>
            <w:vAlign w:val="bottom"/>
            <w:hideMark/>
          </w:tcPr>
          <w:p w14:paraId="6A523FF2"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7</w:t>
            </w:r>
          </w:p>
        </w:tc>
        <w:tc>
          <w:tcPr>
            <w:tcW w:w="1214" w:type="dxa"/>
            <w:tcBorders>
              <w:left w:val="single" w:sz="4" w:space="0" w:color="3C3C3C"/>
            </w:tcBorders>
            <w:shd w:val="clear" w:color="auto" w:fill="auto"/>
            <w:noWrap/>
            <w:vAlign w:val="bottom"/>
            <w:hideMark/>
          </w:tcPr>
          <w:p w14:paraId="706C256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22</w:t>
            </w:r>
          </w:p>
        </w:tc>
        <w:tc>
          <w:tcPr>
            <w:tcW w:w="709" w:type="dxa"/>
            <w:shd w:val="clear" w:color="auto" w:fill="auto"/>
            <w:noWrap/>
            <w:vAlign w:val="bottom"/>
            <w:hideMark/>
          </w:tcPr>
          <w:p w14:paraId="7FE35E8B"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32</w:t>
            </w:r>
          </w:p>
        </w:tc>
        <w:tc>
          <w:tcPr>
            <w:tcW w:w="1134" w:type="dxa"/>
            <w:tcBorders>
              <w:right w:val="single" w:sz="4" w:space="0" w:color="3C3C3C"/>
            </w:tcBorders>
            <w:shd w:val="clear" w:color="auto" w:fill="auto"/>
            <w:noWrap/>
            <w:vAlign w:val="bottom"/>
            <w:hideMark/>
          </w:tcPr>
          <w:p w14:paraId="50AEE60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993" w:type="dxa"/>
            <w:tcBorders>
              <w:left w:val="single" w:sz="4" w:space="0" w:color="3C3C3C"/>
            </w:tcBorders>
            <w:shd w:val="clear" w:color="auto" w:fill="auto"/>
            <w:noWrap/>
            <w:vAlign w:val="bottom"/>
            <w:hideMark/>
          </w:tcPr>
          <w:p w14:paraId="60BB1A77"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13</w:t>
            </w:r>
          </w:p>
        </w:tc>
        <w:tc>
          <w:tcPr>
            <w:tcW w:w="850" w:type="dxa"/>
            <w:shd w:val="clear" w:color="auto" w:fill="auto"/>
            <w:noWrap/>
            <w:vAlign w:val="bottom"/>
            <w:hideMark/>
          </w:tcPr>
          <w:p w14:paraId="04F34078"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99</w:t>
            </w:r>
          </w:p>
        </w:tc>
        <w:tc>
          <w:tcPr>
            <w:tcW w:w="851" w:type="dxa"/>
            <w:shd w:val="clear" w:color="auto" w:fill="auto"/>
            <w:noWrap/>
            <w:vAlign w:val="bottom"/>
            <w:hideMark/>
          </w:tcPr>
          <w:p w14:paraId="02FCEB07"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3BD11E32" w14:textId="77777777" w:rsidR="007753E7" w:rsidRPr="002B2821" w:rsidRDefault="007753E7" w:rsidP="00F9539E">
            <w:pPr>
              <w:spacing w:after="0" w:line="240" w:lineRule="auto"/>
              <w:rPr>
                <w:lang w:eastAsia="en-GB"/>
              </w:rPr>
            </w:pPr>
          </w:p>
        </w:tc>
      </w:tr>
      <w:tr w:rsidR="007753E7" w:rsidRPr="002B2821" w14:paraId="3AF5EF14" w14:textId="77777777" w:rsidTr="00DE4819">
        <w:trPr>
          <w:gridAfter w:val="1"/>
          <w:wAfter w:w="141" w:type="dxa"/>
          <w:trHeight w:val="234"/>
        </w:trPr>
        <w:tc>
          <w:tcPr>
            <w:tcW w:w="261" w:type="dxa"/>
            <w:shd w:val="clear" w:color="auto" w:fill="auto"/>
            <w:noWrap/>
            <w:vAlign w:val="bottom"/>
            <w:hideMark/>
          </w:tcPr>
          <w:p w14:paraId="31A12302"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0DC8C4C5"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National Advisory Council</w:t>
            </w:r>
          </w:p>
        </w:tc>
        <w:tc>
          <w:tcPr>
            <w:tcW w:w="1276" w:type="dxa"/>
            <w:shd w:val="clear" w:color="auto" w:fill="auto"/>
            <w:noWrap/>
            <w:vAlign w:val="bottom"/>
            <w:hideMark/>
          </w:tcPr>
          <w:p w14:paraId="6A31602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0342A6EA"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3C3C3C"/>
            </w:tcBorders>
            <w:shd w:val="clear" w:color="auto" w:fill="auto"/>
            <w:noWrap/>
            <w:vAlign w:val="bottom"/>
            <w:hideMark/>
          </w:tcPr>
          <w:p w14:paraId="2F0A245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8</w:t>
            </w:r>
          </w:p>
        </w:tc>
        <w:tc>
          <w:tcPr>
            <w:tcW w:w="1214" w:type="dxa"/>
            <w:tcBorders>
              <w:left w:val="single" w:sz="4" w:space="0" w:color="3C3C3C"/>
            </w:tcBorders>
            <w:shd w:val="clear" w:color="auto" w:fill="auto"/>
            <w:noWrap/>
            <w:vAlign w:val="bottom"/>
            <w:hideMark/>
          </w:tcPr>
          <w:p w14:paraId="332011F1"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33</w:t>
            </w:r>
          </w:p>
        </w:tc>
        <w:tc>
          <w:tcPr>
            <w:tcW w:w="709" w:type="dxa"/>
            <w:shd w:val="clear" w:color="auto" w:fill="auto"/>
            <w:noWrap/>
            <w:vAlign w:val="bottom"/>
            <w:hideMark/>
          </w:tcPr>
          <w:p w14:paraId="705D2536"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1134" w:type="dxa"/>
            <w:tcBorders>
              <w:right w:val="single" w:sz="4" w:space="0" w:color="3C3C3C"/>
            </w:tcBorders>
            <w:shd w:val="clear" w:color="auto" w:fill="auto"/>
            <w:noWrap/>
            <w:vAlign w:val="bottom"/>
            <w:hideMark/>
          </w:tcPr>
          <w:p w14:paraId="4069809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993" w:type="dxa"/>
            <w:tcBorders>
              <w:left w:val="single" w:sz="4" w:space="0" w:color="3C3C3C"/>
            </w:tcBorders>
            <w:shd w:val="clear" w:color="auto" w:fill="auto"/>
            <w:noWrap/>
            <w:vAlign w:val="bottom"/>
            <w:hideMark/>
          </w:tcPr>
          <w:p w14:paraId="2A768043"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850" w:type="dxa"/>
            <w:shd w:val="clear" w:color="auto" w:fill="auto"/>
            <w:noWrap/>
            <w:vAlign w:val="bottom"/>
            <w:hideMark/>
          </w:tcPr>
          <w:p w14:paraId="1F2363A8"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41</w:t>
            </w:r>
          </w:p>
        </w:tc>
        <w:tc>
          <w:tcPr>
            <w:tcW w:w="851" w:type="dxa"/>
            <w:shd w:val="clear" w:color="auto" w:fill="auto"/>
            <w:noWrap/>
            <w:vAlign w:val="bottom"/>
            <w:hideMark/>
          </w:tcPr>
          <w:p w14:paraId="2BB2EB4A"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09F945C3" w14:textId="77777777" w:rsidR="007753E7" w:rsidRPr="002B2821" w:rsidRDefault="007753E7" w:rsidP="00F9539E">
            <w:pPr>
              <w:spacing w:after="0" w:line="240" w:lineRule="auto"/>
              <w:rPr>
                <w:lang w:eastAsia="en-GB"/>
              </w:rPr>
            </w:pPr>
          </w:p>
        </w:tc>
      </w:tr>
      <w:tr w:rsidR="007753E7" w:rsidRPr="002B2821" w14:paraId="749911A7" w14:textId="77777777" w:rsidTr="00DE4819">
        <w:trPr>
          <w:gridAfter w:val="1"/>
          <w:wAfter w:w="141" w:type="dxa"/>
          <w:trHeight w:val="234"/>
        </w:trPr>
        <w:tc>
          <w:tcPr>
            <w:tcW w:w="261" w:type="dxa"/>
            <w:shd w:val="clear" w:color="auto" w:fill="auto"/>
            <w:noWrap/>
            <w:vAlign w:val="bottom"/>
            <w:hideMark/>
          </w:tcPr>
          <w:p w14:paraId="07E1B6AC" w14:textId="77777777" w:rsidR="007753E7" w:rsidRPr="002B2821" w:rsidRDefault="007753E7" w:rsidP="00F9539E">
            <w:pPr>
              <w:spacing w:after="0" w:line="240" w:lineRule="auto"/>
              <w:rPr>
                <w:lang w:eastAsia="en-GB"/>
              </w:rPr>
            </w:pPr>
          </w:p>
        </w:tc>
        <w:tc>
          <w:tcPr>
            <w:tcW w:w="2092" w:type="dxa"/>
            <w:gridSpan w:val="3"/>
            <w:shd w:val="clear" w:color="auto" w:fill="auto"/>
            <w:vAlign w:val="bottom"/>
            <w:hideMark/>
          </w:tcPr>
          <w:p w14:paraId="7929A73E"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Campaigning Costs</w:t>
            </w:r>
          </w:p>
        </w:tc>
        <w:tc>
          <w:tcPr>
            <w:tcW w:w="1276" w:type="dxa"/>
            <w:shd w:val="clear" w:color="auto" w:fill="auto"/>
            <w:noWrap/>
            <w:vAlign w:val="bottom"/>
            <w:hideMark/>
          </w:tcPr>
          <w:p w14:paraId="4E01EFA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3B53DCDE"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3C3C3C"/>
            </w:tcBorders>
            <w:shd w:val="clear" w:color="auto" w:fill="auto"/>
            <w:noWrap/>
            <w:vAlign w:val="bottom"/>
            <w:hideMark/>
          </w:tcPr>
          <w:p w14:paraId="1B4D0C83"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214" w:type="dxa"/>
            <w:tcBorders>
              <w:left w:val="single" w:sz="4" w:space="0" w:color="3C3C3C"/>
            </w:tcBorders>
            <w:shd w:val="clear" w:color="auto" w:fill="auto"/>
            <w:noWrap/>
            <w:vAlign w:val="bottom"/>
            <w:hideMark/>
          </w:tcPr>
          <w:p w14:paraId="75E5CB96" w14:textId="77777777" w:rsidR="007753E7" w:rsidRPr="00393353" w:rsidRDefault="007753E7" w:rsidP="00F9539E">
            <w:pPr>
              <w:spacing w:after="0" w:line="240" w:lineRule="auto"/>
              <w:jc w:val="right"/>
              <w:rPr>
                <w:rFonts w:ascii="Calibri" w:hAnsi="Calibri" w:cs="Arial"/>
                <w:color w:val="000000"/>
                <w:sz w:val="18"/>
                <w:szCs w:val="18"/>
                <w:lang w:eastAsia="en-GB"/>
              </w:rPr>
            </w:pPr>
            <w:r w:rsidRPr="00393353">
              <w:rPr>
                <w:rFonts w:ascii="Calibri" w:hAnsi="Calibri" w:cs="Arial"/>
                <w:color w:val="000000"/>
                <w:sz w:val="18"/>
                <w:szCs w:val="18"/>
                <w:lang w:eastAsia="en-GB"/>
              </w:rPr>
              <w:t>-</w:t>
            </w:r>
          </w:p>
        </w:tc>
        <w:tc>
          <w:tcPr>
            <w:tcW w:w="709" w:type="dxa"/>
            <w:shd w:val="clear" w:color="auto" w:fill="auto"/>
            <w:noWrap/>
            <w:vAlign w:val="bottom"/>
            <w:hideMark/>
          </w:tcPr>
          <w:p w14:paraId="0BC03D12"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1134" w:type="dxa"/>
            <w:tcBorders>
              <w:right w:val="single" w:sz="4" w:space="0" w:color="3C3C3C"/>
            </w:tcBorders>
            <w:shd w:val="clear" w:color="auto" w:fill="auto"/>
            <w:noWrap/>
            <w:vAlign w:val="bottom"/>
            <w:hideMark/>
          </w:tcPr>
          <w:p w14:paraId="68F38D8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46</w:t>
            </w:r>
          </w:p>
        </w:tc>
        <w:tc>
          <w:tcPr>
            <w:tcW w:w="993" w:type="dxa"/>
            <w:tcBorders>
              <w:left w:val="single" w:sz="4" w:space="0" w:color="3C3C3C"/>
            </w:tcBorders>
            <w:shd w:val="clear" w:color="auto" w:fill="auto"/>
            <w:noWrap/>
            <w:vAlign w:val="bottom"/>
            <w:hideMark/>
          </w:tcPr>
          <w:p w14:paraId="6288E0B6"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850" w:type="dxa"/>
            <w:shd w:val="clear" w:color="auto" w:fill="auto"/>
            <w:noWrap/>
            <w:vAlign w:val="bottom"/>
            <w:hideMark/>
          </w:tcPr>
          <w:p w14:paraId="3821853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46</w:t>
            </w:r>
          </w:p>
        </w:tc>
        <w:tc>
          <w:tcPr>
            <w:tcW w:w="851" w:type="dxa"/>
            <w:shd w:val="clear" w:color="auto" w:fill="auto"/>
            <w:noWrap/>
            <w:vAlign w:val="bottom"/>
            <w:hideMark/>
          </w:tcPr>
          <w:p w14:paraId="78FFE29F"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0BA5D996" w14:textId="77777777" w:rsidR="007753E7" w:rsidRPr="002B2821" w:rsidRDefault="007753E7" w:rsidP="00F9539E">
            <w:pPr>
              <w:spacing w:after="0" w:line="240" w:lineRule="auto"/>
              <w:rPr>
                <w:lang w:eastAsia="en-GB"/>
              </w:rPr>
            </w:pPr>
          </w:p>
        </w:tc>
      </w:tr>
      <w:tr w:rsidR="007753E7" w:rsidRPr="002B2821" w14:paraId="6244EB80" w14:textId="77777777" w:rsidTr="00DE4819">
        <w:trPr>
          <w:gridAfter w:val="1"/>
          <w:wAfter w:w="141" w:type="dxa"/>
          <w:trHeight w:val="234"/>
        </w:trPr>
        <w:tc>
          <w:tcPr>
            <w:tcW w:w="261" w:type="dxa"/>
            <w:shd w:val="clear" w:color="auto" w:fill="auto"/>
            <w:noWrap/>
            <w:vAlign w:val="bottom"/>
            <w:hideMark/>
          </w:tcPr>
          <w:p w14:paraId="2F471C6B"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hideMark/>
          </w:tcPr>
          <w:p w14:paraId="561A0C50"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Research &amp; Development</w:t>
            </w:r>
          </w:p>
        </w:tc>
        <w:tc>
          <w:tcPr>
            <w:tcW w:w="1276" w:type="dxa"/>
            <w:shd w:val="clear" w:color="auto" w:fill="auto"/>
            <w:noWrap/>
            <w:vAlign w:val="bottom"/>
            <w:hideMark/>
          </w:tcPr>
          <w:p w14:paraId="405731EE"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850" w:type="dxa"/>
            <w:gridSpan w:val="2"/>
            <w:shd w:val="clear" w:color="auto" w:fill="auto"/>
            <w:noWrap/>
            <w:vAlign w:val="bottom"/>
            <w:hideMark/>
          </w:tcPr>
          <w:p w14:paraId="6C233B4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w:t>
            </w:r>
          </w:p>
        </w:tc>
        <w:tc>
          <w:tcPr>
            <w:tcW w:w="1054" w:type="dxa"/>
            <w:tcBorders>
              <w:right w:val="single" w:sz="4" w:space="0" w:color="3C3C3C"/>
            </w:tcBorders>
            <w:shd w:val="clear" w:color="auto" w:fill="auto"/>
            <w:noWrap/>
            <w:vAlign w:val="bottom"/>
            <w:hideMark/>
          </w:tcPr>
          <w:p w14:paraId="1EA5AEA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38</w:t>
            </w:r>
          </w:p>
        </w:tc>
        <w:tc>
          <w:tcPr>
            <w:tcW w:w="1214" w:type="dxa"/>
            <w:tcBorders>
              <w:left w:val="single" w:sz="4" w:space="0" w:color="3C3C3C"/>
            </w:tcBorders>
            <w:shd w:val="clear" w:color="auto" w:fill="auto"/>
            <w:noWrap/>
            <w:vAlign w:val="bottom"/>
            <w:hideMark/>
          </w:tcPr>
          <w:p w14:paraId="552A9F7A"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709" w:type="dxa"/>
            <w:shd w:val="clear" w:color="auto" w:fill="auto"/>
            <w:noWrap/>
            <w:vAlign w:val="bottom"/>
            <w:hideMark/>
          </w:tcPr>
          <w:p w14:paraId="5F34DE7D"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1134" w:type="dxa"/>
            <w:tcBorders>
              <w:right w:val="single" w:sz="4" w:space="0" w:color="3C3C3C"/>
            </w:tcBorders>
            <w:shd w:val="clear" w:color="auto" w:fill="auto"/>
            <w:noWrap/>
            <w:vAlign w:val="bottom"/>
            <w:hideMark/>
          </w:tcPr>
          <w:p w14:paraId="0A48531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w:t>
            </w:r>
          </w:p>
        </w:tc>
        <w:tc>
          <w:tcPr>
            <w:tcW w:w="993" w:type="dxa"/>
            <w:tcBorders>
              <w:left w:val="single" w:sz="4" w:space="0" w:color="3C3C3C"/>
            </w:tcBorders>
            <w:shd w:val="clear" w:color="auto" w:fill="auto"/>
            <w:noWrap/>
            <w:vAlign w:val="bottom"/>
            <w:hideMark/>
          </w:tcPr>
          <w:p w14:paraId="13A7EECD"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24</w:t>
            </w:r>
          </w:p>
        </w:tc>
        <w:tc>
          <w:tcPr>
            <w:tcW w:w="850" w:type="dxa"/>
            <w:shd w:val="clear" w:color="auto" w:fill="auto"/>
            <w:noWrap/>
            <w:vAlign w:val="bottom"/>
            <w:hideMark/>
          </w:tcPr>
          <w:p w14:paraId="2C80DB5B"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62</w:t>
            </w:r>
          </w:p>
        </w:tc>
        <w:tc>
          <w:tcPr>
            <w:tcW w:w="851" w:type="dxa"/>
            <w:shd w:val="clear" w:color="auto" w:fill="auto"/>
            <w:noWrap/>
            <w:vAlign w:val="bottom"/>
            <w:hideMark/>
          </w:tcPr>
          <w:p w14:paraId="666C0454"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58EEF54A" w14:textId="77777777" w:rsidR="007753E7" w:rsidRPr="002B2821" w:rsidRDefault="007753E7" w:rsidP="00F9539E">
            <w:pPr>
              <w:spacing w:after="0" w:line="240" w:lineRule="auto"/>
              <w:rPr>
                <w:lang w:eastAsia="en-GB"/>
              </w:rPr>
            </w:pPr>
          </w:p>
        </w:tc>
      </w:tr>
      <w:tr w:rsidR="007753E7" w:rsidRPr="002B2821" w14:paraId="68676558" w14:textId="77777777" w:rsidTr="00DE4819">
        <w:trPr>
          <w:gridAfter w:val="1"/>
          <w:wAfter w:w="141" w:type="dxa"/>
          <w:trHeight w:val="234"/>
        </w:trPr>
        <w:tc>
          <w:tcPr>
            <w:tcW w:w="261" w:type="dxa"/>
            <w:shd w:val="clear" w:color="auto" w:fill="auto"/>
            <w:noWrap/>
            <w:vAlign w:val="bottom"/>
            <w:hideMark/>
          </w:tcPr>
          <w:p w14:paraId="090B829E"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199E9735"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741B7B62" w14:textId="77777777" w:rsidR="007753E7" w:rsidRPr="002B2821" w:rsidRDefault="007753E7" w:rsidP="00F9539E">
            <w:pPr>
              <w:spacing w:after="0" w:line="240" w:lineRule="auto"/>
              <w:rPr>
                <w:lang w:eastAsia="en-GB"/>
              </w:rPr>
            </w:pPr>
          </w:p>
        </w:tc>
        <w:tc>
          <w:tcPr>
            <w:tcW w:w="1276" w:type="dxa"/>
            <w:tcBorders>
              <w:bottom w:val="single" w:sz="4" w:space="0" w:color="3C3C3C"/>
            </w:tcBorders>
            <w:shd w:val="clear" w:color="auto" w:fill="auto"/>
            <w:noWrap/>
            <w:vAlign w:val="bottom"/>
            <w:hideMark/>
          </w:tcPr>
          <w:p w14:paraId="5D59421B" w14:textId="77777777" w:rsidR="007753E7" w:rsidRPr="002B2821" w:rsidRDefault="007753E7" w:rsidP="00F9539E">
            <w:pPr>
              <w:spacing w:after="0" w:line="240" w:lineRule="auto"/>
              <w:rPr>
                <w:lang w:eastAsia="en-GB"/>
              </w:rPr>
            </w:pPr>
          </w:p>
        </w:tc>
        <w:tc>
          <w:tcPr>
            <w:tcW w:w="850" w:type="dxa"/>
            <w:gridSpan w:val="2"/>
            <w:tcBorders>
              <w:bottom w:val="single" w:sz="4" w:space="0" w:color="3C3C3C"/>
            </w:tcBorders>
            <w:shd w:val="clear" w:color="auto" w:fill="auto"/>
            <w:noWrap/>
            <w:vAlign w:val="bottom"/>
            <w:hideMark/>
          </w:tcPr>
          <w:p w14:paraId="4449E80A" w14:textId="77777777" w:rsidR="007753E7" w:rsidRPr="002B2821" w:rsidRDefault="007753E7" w:rsidP="00F9539E">
            <w:pPr>
              <w:spacing w:after="0" w:line="240" w:lineRule="auto"/>
              <w:rPr>
                <w:lang w:eastAsia="en-GB"/>
              </w:rPr>
            </w:pPr>
          </w:p>
        </w:tc>
        <w:tc>
          <w:tcPr>
            <w:tcW w:w="1054" w:type="dxa"/>
            <w:tcBorders>
              <w:bottom w:val="single" w:sz="4" w:space="0" w:color="3C3C3C"/>
              <w:right w:val="single" w:sz="4" w:space="0" w:color="3C3C3C"/>
            </w:tcBorders>
            <w:shd w:val="clear" w:color="auto" w:fill="auto"/>
            <w:noWrap/>
            <w:vAlign w:val="bottom"/>
            <w:hideMark/>
          </w:tcPr>
          <w:p w14:paraId="6257A67E" w14:textId="77777777" w:rsidR="007753E7" w:rsidRPr="002B2821" w:rsidRDefault="007753E7" w:rsidP="00F9539E">
            <w:pPr>
              <w:spacing w:after="0" w:line="240" w:lineRule="auto"/>
              <w:rPr>
                <w:lang w:eastAsia="en-GB"/>
              </w:rPr>
            </w:pPr>
          </w:p>
        </w:tc>
        <w:tc>
          <w:tcPr>
            <w:tcW w:w="1214" w:type="dxa"/>
            <w:tcBorders>
              <w:left w:val="single" w:sz="4" w:space="0" w:color="3C3C3C"/>
              <w:bottom w:val="single" w:sz="4" w:space="0" w:color="3C3C3C"/>
            </w:tcBorders>
            <w:shd w:val="clear" w:color="auto" w:fill="auto"/>
            <w:noWrap/>
            <w:vAlign w:val="bottom"/>
            <w:hideMark/>
          </w:tcPr>
          <w:p w14:paraId="579B07F7" w14:textId="77777777" w:rsidR="007753E7" w:rsidRPr="00393353" w:rsidRDefault="007753E7" w:rsidP="00F9539E">
            <w:pPr>
              <w:spacing w:after="0" w:line="240" w:lineRule="auto"/>
              <w:rPr>
                <w:lang w:eastAsia="en-GB"/>
              </w:rPr>
            </w:pPr>
          </w:p>
        </w:tc>
        <w:tc>
          <w:tcPr>
            <w:tcW w:w="709" w:type="dxa"/>
            <w:tcBorders>
              <w:bottom w:val="single" w:sz="4" w:space="0" w:color="3C3C3C"/>
            </w:tcBorders>
            <w:shd w:val="clear" w:color="auto" w:fill="auto"/>
            <w:noWrap/>
            <w:vAlign w:val="bottom"/>
            <w:hideMark/>
          </w:tcPr>
          <w:p w14:paraId="718D608D" w14:textId="77777777" w:rsidR="007753E7" w:rsidRPr="00393353" w:rsidRDefault="007753E7" w:rsidP="00F9539E">
            <w:pPr>
              <w:spacing w:after="0" w:line="240" w:lineRule="auto"/>
              <w:rPr>
                <w:lang w:eastAsia="en-GB"/>
              </w:rPr>
            </w:pPr>
          </w:p>
        </w:tc>
        <w:tc>
          <w:tcPr>
            <w:tcW w:w="1134" w:type="dxa"/>
            <w:tcBorders>
              <w:bottom w:val="single" w:sz="4" w:space="0" w:color="3C3C3C"/>
              <w:right w:val="single" w:sz="4" w:space="0" w:color="3C3C3C"/>
            </w:tcBorders>
            <w:shd w:val="clear" w:color="auto" w:fill="auto"/>
            <w:noWrap/>
            <w:vAlign w:val="bottom"/>
            <w:hideMark/>
          </w:tcPr>
          <w:p w14:paraId="57BDE88C" w14:textId="77777777" w:rsidR="007753E7" w:rsidRPr="00393353" w:rsidRDefault="007753E7" w:rsidP="00F9539E">
            <w:pPr>
              <w:spacing w:after="0" w:line="240" w:lineRule="auto"/>
              <w:rPr>
                <w:lang w:eastAsia="en-GB"/>
              </w:rPr>
            </w:pPr>
          </w:p>
        </w:tc>
        <w:tc>
          <w:tcPr>
            <w:tcW w:w="993" w:type="dxa"/>
            <w:tcBorders>
              <w:left w:val="single" w:sz="4" w:space="0" w:color="3C3C3C"/>
              <w:bottom w:val="single" w:sz="4" w:space="0" w:color="3C3C3C"/>
            </w:tcBorders>
            <w:shd w:val="clear" w:color="auto" w:fill="auto"/>
            <w:noWrap/>
            <w:vAlign w:val="bottom"/>
            <w:hideMark/>
          </w:tcPr>
          <w:p w14:paraId="2B8F2F48" w14:textId="77777777" w:rsidR="007753E7" w:rsidRPr="00393353" w:rsidRDefault="007753E7" w:rsidP="00F9539E">
            <w:pPr>
              <w:spacing w:after="0" w:line="240" w:lineRule="auto"/>
              <w:rPr>
                <w:lang w:eastAsia="en-GB"/>
              </w:rPr>
            </w:pPr>
          </w:p>
        </w:tc>
        <w:tc>
          <w:tcPr>
            <w:tcW w:w="850" w:type="dxa"/>
            <w:shd w:val="clear" w:color="auto" w:fill="auto"/>
            <w:noWrap/>
            <w:vAlign w:val="bottom"/>
            <w:hideMark/>
          </w:tcPr>
          <w:p w14:paraId="2F15B0A1" w14:textId="77777777" w:rsidR="007753E7" w:rsidRPr="00393353" w:rsidRDefault="007753E7" w:rsidP="00F9539E">
            <w:pPr>
              <w:spacing w:after="0" w:line="240" w:lineRule="auto"/>
              <w:rPr>
                <w:lang w:eastAsia="en-GB"/>
              </w:rPr>
            </w:pPr>
          </w:p>
        </w:tc>
        <w:tc>
          <w:tcPr>
            <w:tcW w:w="851" w:type="dxa"/>
            <w:shd w:val="clear" w:color="auto" w:fill="auto"/>
            <w:noWrap/>
            <w:vAlign w:val="bottom"/>
            <w:hideMark/>
          </w:tcPr>
          <w:p w14:paraId="6E25D14C"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3BDB5562" w14:textId="77777777" w:rsidR="007753E7" w:rsidRPr="002B2821" w:rsidRDefault="007753E7" w:rsidP="00F9539E">
            <w:pPr>
              <w:spacing w:after="0" w:line="240" w:lineRule="auto"/>
              <w:rPr>
                <w:lang w:eastAsia="en-GB"/>
              </w:rPr>
            </w:pPr>
          </w:p>
        </w:tc>
      </w:tr>
      <w:tr w:rsidR="007753E7" w:rsidRPr="002B2821" w14:paraId="57975748" w14:textId="77777777" w:rsidTr="00DE4819">
        <w:trPr>
          <w:gridAfter w:val="1"/>
          <w:wAfter w:w="141" w:type="dxa"/>
          <w:trHeight w:val="234"/>
        </w:trPr>
        <w:tc>
          <w:tcPr>
            <w:tcW w:w="261" w:type="dxa"/>
            <w:shd w:val="clear" w:color="auto" w:fill="auto"/>
            <w:noWrap/>
            <w:vAlign w:val="bottom"/>
            <w:hideMark/>
          </w:tcPr>
          <w:p w14:paraId="61A7CB84"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7D376C07" w14:textId="77777777" w:rsidR="007753E7" w:rsidRPr="002B2821" w:rsidRDefault="007753E7" w:rsidP="00F9539E">
            <w:pPr>
              <w:spacing w:after="0" w:line="240" w:lineRule="auto"/>
              <w:rPr>
                <w:rFonts w:ascii="Calibri" w:hAnsi="Calibri" w:cs="Arial"/>
                <w:lang w:eastAsia="en-GB"/>
              </w:rPr>
            </w:pPr>
            <w:r>
              <w:rPr>
                <w:rFonts w:ascii="Calibri" w:hAnsi="Calibri" w:cs="Arial"/>
                <w:lang w:eastAsia="en-GB"/>
              </w:rPr>
              <w:t>Subtotal</w:t>
            </w:r>
          </w:p>
        </w:tc>
        <w:tc>
          <w:tcPr>
            <w:tcW w:w="1276" w:type="dxa"/>
            <w:tcBorders>
              <w:top w:val="single" w:sz="4" w:space="0" w:color="3C3C3C"/>
              <w:left w:val="single" w:sz="4" w:space="0" w:color="3C3C3C"/>
            </w:tcBorders>
            <w:shd w:val="clear" w:color="auto" w:fill="auto"/>
            <w:noWrap/>
            <w:vAlign w:val="bottom"/>
            <w:hideMark/>
          </w:tcPr>
          <w:p w14:paraId="52384A0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371</w:t>
            </w:r>
          </w:p>
        </w:tc>
        <w:tc>
          <w:tcPr>
            <w:tcW w:w="850" w:type="dxa"/>
            <w:gridSpan w:val="2"/>
            <w:tcBorders>
              <w:top w:val="single" w:sz="4" w:space="0" w:color="3C3C3C"/>
            </w:tcBorders>
            <w:shd w:val="clear" w:color="auto" w:fill="auto"/>
            <w:noWrap/>
            <w:vAlign w:val="bottom"/>
            <w:hideMark/>
          </w:tcPr>
          <w:p w14:paraId="547C76DC"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109</w:t>
            </w:r>
          </w:p>
        </w:tc>
        <w:tc>
          <w:tcPr>
            <w:tcW w:w="1054" w:type="dxa"/>
            <w:tcBorders>
              <w:top w:val="single" w:sz="4" w:space="0" w:color="3C3C3C"/>
              <w:right w:val="single" w:sz="4" w:space="0" w:color="3C3C3C"/>
            </w:tcBorders>
            <w:shd w:val="clear" w:color="auto" w:fill="auto"/>
            <w:noWrap/>
            <w:vAlign w:val="bottom"/>
            <w:hideMark/>
          </w:tcPr>
          <w:p w14:paraId="45E8B5F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409</w:t>
            </w:r>
          </w:p>
        </w:tc>
        <w:tc>
          <w:tcPr>
            <w:tcW w:w="1214" w:type="dxa"/>
            <w:tcBorders>
              <w:top w:val="single" w:sz="4" w:space="0" w:color="3C3C3C"/>
              <w:left w:val="single" w:sz="4" w:space="0" w:color="3C3C3C"/>
            </w:tcBorders>
            <w:shd w:val="clear" w:color="auto" w:fill="auto"/>
            <w:noWrap/>
            <w:vAlign w:val="bottom"/>
            <w:hideMark/>
          </w:tcPr>
          <w:p w14:paraId="0B9A32C8" w14:textId="77777777" w:rsidR="007753E7" w:rsidRPr="008656F2" w:rsidRDefault="007753E7" w:rsidP="00F9539E">
            <w:pPr>
              <w:spacing w:after="0" w:line="240" w:lineRule="auto"/>
              <w:jc w:val="right"/>
              <w:rPr>
                <w:rFonts w:ascii="Calibri" w:hAnsi="Calibri" w:cs="Arial"/>
                <w:sz w:val="18"/>
                <w:szCs w:val="18"/>
                <w:lang w:eastAsia="en-GB"/>
              </w:rPr>
            </w:pPr>
            <w:r w:rsidRPr="00DD7A47">
              <w:rPr>
                <w:rFonts w:ascii="Calibri" w:hAnsi="Calibri" w:cs="Arial"/>
                <w:sz w:val="18"/>
                <w:szCs w:val="18"/>
                <w:lang w:eastAsia="en-GB"/>
              </w:rPr>
              <w:t>1</w:t>
            </w:r>
            <w:r w:rsidRPr="00393353">
              <w:rPr>
                <w:rFonts w:ascii="Calibri" w:hAnsi="Calibri" w:cs="Arial"/>
                <w:sz w:val="18"/>
                <w:szCs w:val="18"/>
                <w:lang w:eastAsia="en-GB"/>
              </w:rPr>
              <w:t>0</w:t>
            </w:r>
            <w:r w:rsidRPr="008656F2">
              <w:rPr>
                <w:rFonts w:ascii="Calibri" w:hAnsi="Calibri" w:cs="Arial"/>
                <w:sz w:val="18"/>
                <w:szCs w:val="18"/>
                <w:lang w:eastAsia="en-GB"/>
              </w:rPr>
              <w:t>0</w:t>
            </w:r>
          </w:p>
        </w:tc>
        <w:tc>
          <w:tcPr>
            <w:tcW w:w="709" w:type="dxa"/>
            <w:tcBorders>
              <w:top w:val="single" w:sz="4" w:space="0" w:color="3C3C3C"/>
            </w:tcBorders>
            <w:shd w:val="clear" w:color="auto" w:fill="auto"/>
            <w:noWrap/>
            <w:vAlign w:val="bottom"/>
            <w:hideMark/>
          </w:tcPr>
          <w:p w14:paraId="359AD8E8" w14:textId="77777777" w:rsidR="007753E7" w:rsidRPr="008656F2" w:rsidRDefault="007753E7" w:rsidP="00F9539E">
            <w:pPr>
              <w:spacing w:after="0" w:line="240" w:lineRule="auto"/>
              <w:jc w:val="right"/>
              <w:rPr>
                <w:rFonts w:ascii="Calibri" w:hAnsi="Calibri" w:cs="Arial"/>
                <w:sz w:val="18"/>
                <w:szCs w:val="18"/>
                <w:lang w:eastAsia="en-GB"/>
              </w:rPr>
            </w:pPr>
            <w:r w:rsidRPr="008656F2">
              <w:rPr>
                <w:rFonts w:ascii="Calibri" w:hAnsi="Calibri" w:cs="Arial"/>
                <w:sz w:val="18"/>
                <w:szCs w:val="18"/>
                <w:lang w:eastAsia="en-GB"/>
              </w:rPr>
              <w:t>6</w:t>
            </w:r>
            <w:r w:rsidRPr="00393353">
              <w:rPr>
                <w:rFonts w:ascii="Calibri" w:hAnsi="Calibri" w:cs="Arial"/>
                <w:sz w:val="18"/>
                <w:szCs w:val="18"/>
                <w:lang w:eastAsia="en-GB"/>
              </w:rPr>
              <w:t>5</w:t>
            </w:r>
          </w:p>
        </w:tc>
        <w:tc>
          <w:tcPr>
            <w:tcW w:w="1134" w:type="dxa"/>
            <w:tcBorders>
              <w:top w:val="single" w:sz="4" w:space="0" w:color="3C3C3C"/>
              <w:right w:val="single" w:sz="4" w:space="0" w:color="3C3C3C"/>
            </w:tcBorders>
            <w:shd w:val="clear" w:color="auto" w:fill="auto"/>
            <w:noWrap/>
            <w:vAlign w:val="bottom"/>
            <w:hideMark/>
          </w:tcPr>
          <w:p w14:paraId="1080033E" w14:textId="77777777" w:rsidR="007753E7" w:rsidRPr="00DD7A47"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52</w:t>
            </w:r>
          </w:p>
        </w:tc>
        <w:tc>
          <w:tcPr>
            <w:tcW w:w="993" w:type="dxa"/>
            <w:tcBorders>
              <w:top w:val="single" w:sz="4" w:space="0" w:color="3C3C3C"/>
              <w:left w:val="single" w:sz="4" w:space="0" w:color="3C3C3C"/>
              <w:right w:val="single" w:sz="4" w:space="0" w:color="3C3C3C"/>
            </w:tcBorders>
            <w:shd w:val="clear" w:color="auto" w:fill="auto"/>
            <w:noWrap/>
            <w:vAlign w:val="bottom"/>
            <w:hideMark/>
          </w:tcPr>
          <w:p w14:paraId="1A091587"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375</w:t>
            </w:r>
          </w:p>
        </w:tc>
        <w:tc>
          <w:tcPr>
            <w:tcW w:w="850" w:type="dxa"/>
            <w:tcBorders>
              <w:left w:val="single" w:sz="4" w:space="0" w:color="3C3C3C"/>
            </w:tcBorders>
            <w:shd w:val="clear" w:color="auto" w:fill="auto"/>
            <w:noWrap/>
            <w:vAlign w:val="bottom"/>
            <w:hideMark/>
          </w:tcPr>
          <w:p w14:paraId="698B91C4" w14:textId="77777777" w:rsidR="007753E7" w:rsidRPr="00393353" w:rsidRDefault="007753E7" w:rsidP="00F9539E">
            <w:pPr>
              <w:spacing w:after="0" w:line="240" w:lineRule="auto"/>
              <w:jc w:val="right"/>
              <w:rPr>
                <w:rFonts w:ascii="Calibri" w:hAnsi="Calibri" w:cs="Arial"/>
                <w:sz w:val="18"/>
                <w:szCs w:val="18"/>
                <w:lang w:eastAsia="en-GB"/>
              </w:rPr>
            </w:pPr>
            <w:r w:rsidRPr="00393353">
              <w:rPr>
                <w:rFonts w:ascii="Calibri" w:hAnsi="Calibri" w:cs="Arial"/>
                <w:sz w:val="18"/>
                <w:szCs w:val="18"/>
                <w:lang w:eastAsia="en-GB"/>
              </w:rPr>
              <w:t>1,481</w:t>
            </w:r>
          </w:p>
        </w:tc>
        <w:tc>
          <w:tcPr>
            <w:tcW w:w="851" w:type="dxa"/>
            <w:shd w:val="clear" w:color="auto" w:fill="auto"/>
            <w:noWrap/>
            <w:vAlign w:val="bottom"/>
            <w:hideMark/>
          </w:tcPr>
          <w:p w14:paraId="2A63EF1C"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56D8D605" w14:textId="77777777" w:rsidR="007753E7" w:rsidRPr="002B2821" w:rsidRDefault="007753E7" w:rsidP="00F9539E">
            <w:pPr>
              <w:spacing w:after="0" w:line="240" w:lineRule="auto"/>
              <w:rPr>
                <w:lang w:eastAsia="en-GB"/>
              </w:rPr>
            </w:pPr>
          </w:p>
        </w:tc>
      </w:tr>
      <w:tr w:rsidR="007753E7" w:rsidRPr="002B2821" w14:paraId="7A891399" w14:textId="77777777" w:rsidTr="00DE4819">
        <w:trPr>
          <w:gridAfter w:val="1"/>
          <w:wAfter w:w="141" w:type="dxa"/>
          <w:trHeight w:val="234"/>
        </w:trPr>
        <w:tc>
          <w:tcPr>
            <w:tcW w:w="261" w:type="dxa"/>
            <w:shd w:val="clear" w:color="auto" w:fill="auto"/>
            <w:noWrap/>
            <w:vAlign w:val="bottom"/>
            <w:hideMark/>
          </w:tcPr>
          <w:p w14:paraId="63FC3A59"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5E575653" w14:textId="77777777" w:rsidR="007753E7" w:rsidRPr="002B2821" w:rsidRDefault="007753E7" w:rsidP="00F9539E">
            <w:pPr>
              <w:spacing w:after="0" w:line="240" w:lineRule="auto"/>
              <w:rPr>
                <w:lang w:eastAsia="en-GB"/>
              </w:rPr>
            </w:pPr>
          </w:p>
        </w:tc>
        <w:tc>
          <w:tcPr>
            <w:tcW w:w="1843" w:type="dxa"/>
            <w:gridSpan w:val="2"/>
            <w:tcBorders>
              <w:right w:val="single" w:sz="4" w:space="0" w:color="3C3C3C"/>
            </w:tcBorders>
            <w:shd w:val="clear" w:color="auto" w:fill="auto"/>
            <w:noWrap/>
            <w:vAlign w:val="bottom"/>
            <w:hideMark/>
          </w:tcPr>
          <w:p w14:paraId="5797A0DE" w14:textId="77777777" w:rsidR="007753E7" w:rsidRPr="002B2821" w:rsidRDefault="007753E7" w:rsidP="00F9539E">
            <w:pPr>
              <w:spacing w:after="0" w:line="240" w:lineRule="auto"/>
              <w:rPr>
                <w:lang w:eastAsia="en-GB"/>
              </w:rPr>
            </w:pPr>
          </w:p>
        </w:tc>
        <w:tc>
          <w:tcPr>
            <w:tcW w:w="1276" w:type="dxa"/>
            <w:tcBorders>
              <w:left w:val="single" w:sz="4" w:space="0" w:color="3C3C3C"/>
              <w:bottom w:val="single" w:sz="4" w:space="0" w:color="3C3C3C"/>
            </w:tcBorders>
            <w:shd w:val="clear" w:color="auto" w:fill="auto"/>
            <w:noWrap/>
            <w:vAlign w:val="bottom"/>
            <w:hideMark/>
          </w:tcPr>
          <w:p w14:paraId="6F034202" w14:textId="77777777" w:rsidR="007753E7" w:rsidRPr="002B2821" w:rsidRDefault="007753E7" w:rsidP="00F9539E">
            <w:pPr>
              <w:spacing w:after="0" w:line="240" w:lineRule="auto"/>
              <w:rPr>
                <w:lang w:eastAsia="en-GB"/>
              </w:rPr>
            </w:pPr>
          </w:p>
        </w:tc>
        <w:tc>
          <w:tcPr>
            <w:tcW w:w="850" w:type="dxa"/>
            <w:gridSpan w:val="2"/>
            <w:tcBorders>
              <w:bottom w:val="single" w:sz="4" w:space="0" w:color="3C3C3C"/>
            </w:tcBorders>
            <w:shd w:val="clear" w:color="auto" w:fill="auto"/>
            <w:noWrap/>
            <w:vAlign w:val="bottom"/>
            <w:hideMark/>
          </w:tcPr>
          <w:p w14:paraId="6B082D00" w14:textId="77777777" w:rsidR="007753E7" w:rsidRPr="002B2821" w:rsidRDefault="007753E7" w:rsidP="00F9539E">
            <w:pPr>
              <w:spacing w:after="0" w:line="240" w:lineRule="auto"/>
              <w:rPr>
                <w:lang w:eastAsia="en-GB"/>
              </w:rPr>
            </w:pPr>
          </w:p>
        </w:tc>
        <w:tc>
          <w:tcPr>
            <w:tcW w:w="1054" w:type="dxa"/>
            <w:tcBorders>
              <w:bottom w:val="single" w:sz="4" w:space="0" w:color="3C3C3C"/>
              <w:right w:val="single" w:sz="4" w:space="0" w:color="3C3C3C"/>
            </w:tcBorders>
            <w:shd w:val="clear" w:color="auto" w:fill="auto"/>
            <w:noWrap/>
            <w:vAlign w:val="bottom"/>
            <w:hideMark/>
          </w:tcPr>
          <w:p w14:paraId="33B356F5" w14:textId="77777777" w:rsidR="007753E7" w:rsidRPr="002B2821" w:rsidRDefault="007753E7" w:rsidP="00F9539E">
            <w:pPr>
              <w:spacing w:after="0" w:line="240" w:lineRule="auto"/>
              <w:rPr>
                <w:lang w:eastAsia="en-GB"/>
              </w:rPr>
            </w:pPr>
          </w:p>
        </w:tc>
        <w:tc>
          <w:tcPr>
            <w:tcW w:w="1214" w:type="dxa"/>
            <w:tcBorders>
              <w:left w:val="single" w:sz="4" w:space="0" w:color="3C3C3C"/>
              <w:bottom w:val="single" w:sz="4" w:space="0" w:color="3C3C3C"/>
            </w:tcBorders>
            <w:shd w:val="clear" w:color="auto" w:fill="auto"/>
            <w:noWrap/>
            <w:vAlign w:val="bottom"/>
            <w:hideMark/>
          </w:tcPr>
          <w:p w14:paraId="021BB585" w14:textId="77777777" w:rsidR="007753E7" w:rsidRPr="00DD7A47" w:rsidRDefault="007753E7" w:rsidP="00F9539E">
            <w:pPr>
              <w:spacing w:after="0" w:line="240" w:lineRule="auto"/>
              <w:rPr>
                <w:lang w:eastAsia="en-GB"/>
              </w:rPr>
            </w:pPr>
          </w:p>
        </w:tc>
        <w:tc>
          <w:tcPr>
            <w:tcW w:w="709" w:type="dxa"/>
            <w:tcBorders>
              <w:bottom w:val="single" w:sz="4" w:space="0" w:color="3C3C3C"/>
            </w:tcBorders>
            <w:shd w:val="clear" w:color="auto" w:fill="auto"/>
            <w:noWrap/>
            <w:vAlign w:val="bottom"/>
            <w:hideMark/>
          </w:tcPr>
          <w:p w14:paraId="7C0F71D9" w14:textId="77777777" w:rsidR="007753E7" w:rsidRPr="008656F2" w:rsidRDefault="007753E7" w:rsidP="00F9539E">
            <w:pPr>
              <w:spacing w:after="0" w:line="240" w:lineRule="auto"/>
              <w:rPr>
                <w:lang w:eastAsia="en-GB"/>
              </w:rPr>
            </w:pPr>
          </w:p>
        </w:tc>
        <w:tc>
          <w:tcPr>
            <w:tcW w:w="1134" w:type="dxa"/>
            <w:tcBorders>
              <w:bottom w:val="single" w:sz="4" w:space="0" w:color="3C3C3C"/>
              <w:right w:val="single" w:sz="4" w:space="0" w:color="3C3C3C"/>
            </w:tcBorders>
            <w:shd w:val="clear" w:color="auto" w:fill="auto"/>
            <w:noWrap/>
            <w:vAlign w:val="bottom"/>
            <w:hideMark/>
          </w:tcPr>
          <w:p w14:paraId="778F9D6C" w14:textId="77777777" w:rsidR="007753E7" w:rsidRPr="00FE5A47" w:rsidRDefault="007753E7" w:rsidP="00F9539E">
            <w:pPr>
              <w:spacing w:after="0" w:line="240" w:lineRule="auto"/>
              <w:rPr>
                <w:lang w:eastAsia="en-GB"/>
              </w:rPr>
            </w:pPr>
          </w:p>
        </w:tc>
        <w:tc>
          <w:tcPr>
            <w:tcW w:w="993" w:type="dxa"/>
            <w:tcBorders>
              <w:left w:val="single" w:sz="4" w:space="0" w:color="3C3C3C"/>
              <w:bottom w:val="single" w:sz="4" w:space="0" w:color="3C3C3C"/>
              <w:right w:val="single" w:sz="4" w:space="0" w:color="3C3C3C"/>
            </w:tcBorders>
            <w:shd w:val="clear" w:color="auto" w:fill="auto"/>
            <w:noWrap/>
            <w:vAlign w:val="bottom"/>
            <w:hideMark/>
          </w:tcPr>
          <w:p w14:paraId="5B973849" w14:textId="77777777" w:rsidR="007753E7" w:rsidRPr="00393353" w:rsidRDefault="007753E7" w:rsidP="00F9539E">
            <w:pPr>
              <w:spacing w:after="0" w:line="240" w:lineRule="auto"/>
              <w:rPr>
                <w:lang w:eastAsia="en-GB"/>
              </w:rPr>
            </w:pPr>
          </w:p>
        </w:tc>
        <w:tc>
          <w:tcPr>
            <w:tcW w:w="850" w:type="dxa"/>
            <w:tcBorders>
              <w:left w:val="single" w:sz="4" w:space="0" w:color="3C3C3C"/>
            </w:tcBorders>
            <w:shd w:val="clear" w:color="auto" w:fill="auto"/>
            <w:noWrap/>
            <w:vAlign w:val="bottom"/>
            <w:hideMark/>
          </w:tcPr>
          <w:p w14:paraId="535732B1" w14:textId="77777777" w:rsidR="007753E7" w:rsidRPr="00393353" w:rsidRDefault="007753E7" w:rsidP="00F9539E">
            <w:pPr>
              <w:spacing w:after="0" w:line="240" w:lineRule="auto"/>
              <w:rPr>
                <w:lang w:eastAsia="en-GB"/>
              </w:rPr>
            </w:pPr>
          </w:p>
        </w:tc>
        <w:tc>
          <w:tcPr>
            <w:tcW w:w="851" w:type="dxa"/>
            <w:shd w:val="clear" w:color="auto" w:fill="auto"/>
            <w:noWrap/>
            <w:vAlign w:val="bottom"/>
            <w:hideMark/>
          </w:tcPr>
          <w:p w14:paraId="534098E6"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70369F45" w14:textId="77777777" w:rsidR="007753E7" w:rsidRPr="002B2821" w:rsidRDefault="007753E7" w:rsidP="00F9539E">
            <w:pPr>
              <w:spacing w:after="0" w:line="240" w:lineRule="auto"/>
              <w:rPr>
                <w:lang w:eastAsia="en-GB"/>
              </w:rPr>
            </w:pPr>
          </w:p>
        </w:tc>
      </w:tr>
      <w:tr w:rsidR="007753E7" w:rsidRPr="002B2821" w14:paraId="38E2385E" w14:textId="77777777" w:rsidTr="00DE4819">
        <w:trPr>
          <w:gridAfter w:val="1"/>
          <w:wAfter w:w="141" w:type="dxa"/>
          <w:trHeight w:val="234"/>
        </w:trPr>
        <w:tc>
          <w:tcPr>
            <w:tcW w:w="261" w:type="dxa"/>
            <w:shd w:val="clear" w:color="auto" w:fill="auto"/>
            <w:noWrap/>
            <w:vAlign w:val="bottom"/>
            <w:hideMark/>
          </w:tcPr>
          <w:p w14:paraId="77C1C665"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hideMark/>
          </w:tcPr>
          <w:p w14:paraId="5FE50D98"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Total Unrestricted Costs</w:t>
            </w:r>
          </w:p>
        </w:tc>
        <w:tc>
          <w:tcPr>
            <w:tcW w:w="1276" w:type="dxa"/>
            <w:tcBorders>
              <w:top w:val="single" w:sz="4" w:space="0" w:color="3C3C3C"/>
            </w:tcBorders>
            <w:shd w:val="clear" w:color="auto" w:fill="auto"/>
            <w:noWrap/>
            <w:vAlign w:val="bottom"/>
            <w:hideMark/>
          </w:tcPr>
          <w:p w14:paraId="714778A0"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371</w:t>
            </w:r>
          </w:p>
        </w:tc>
        <w:tc>
          <w:tcPr>
            <w:tcW w:w="850" w:type="dxa"/>
            <w:gridSpan w:val="2"/>
            <w:tcBorders>
              <w:top w:val="single" w:sz="4" w:space="0" w:color="3C3C3C"/>
            </w:tcBorders>
            <w:shd w:val="clear" w:color="auto" w:fill="auto"/>
            <w:noWrap/>
            <w:vAlign w:val="bottom"/>
            <w:hideMark/>
          </w:tcPr>
          <w:p w14:paraId="5DEB8E5B"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109</w:t>
            </w:r>
          </w:p>
        </w:tc>
        <w:tc>
          <w:tcPr>
            <w:tcW w:w="1054" w:type="dxa"/>
            <w:tcBorders>
              <w:top w:val="single" w:sz="4" w:space="0" w:color="3C3C3C"/>
              <w:right w:val="single" w:sz="4" w:space="0" w:color="3C3C3C"/>
            </w:tcBorders>
            <w:shd w:val="clear" w:color="auto" w:fill="auto"/>
            <w:noWrap/>
            <w:vAlign w:val="bottom"/>
            <w:hideMark/>
          </w:tcPr>
          <w:p w14:paraId="30C11931"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409</w:t>
            </w:r>
          </w:p>
        </w:tc>
        <w:tc>
          <w:tcPr>
            <w:tcW w:w="1214" w:type="dxa"/>
            <w:tcBorders>
              <w:top w:val="single" w:sz="4" w:space="0" w:color="3C3C3C"/>
              <w:left w:val="single" w:sz="4" w:space="0" w:color="3C3C3C"/>
            </w:tcBorders>
            <w:shd w:val="clear" w:color="auto" w:fill="auto"/>
            <w:noWrap/>
            <w:vAlign w:val="bottom"/>
            <w:hideMark/>
          </w:tcPr>
          <w:p w14:paraId="7AF0485C" w14:textId="77777777" w:rsidR="007753E7" w:rsidRPr="002B2821" w:rsidRDefault="007753E7" w:rsidP="00F9539E">
            <w:pPr>
              <w:spacing w:after="0" w:line="240" w:lineRule="auto"/>
              <w:rPr>
                <w:rFonts w:ascii="Calibri" w:hAnsi="Calibri" w:cs="Arial"/>
                <w:sz w:val="18"/>
                <w:szCs w:val="18"/>
                <w:lang w:eastAsia="en-GB"/>
              </w:rPr>
            </w:pPr>
            <w:r w:rsidRPr="002B2821">
              <w:rPr>
                <w:rFonts w:ascii="Calibri" w:hAnsi="Calibri" w:cs="Arial"/>
                <w:sz w:val="18"/>
                <w:szCs w:val="18"/>
                <w:lang w:eastAsia="en-GB"/>
              </w:rPr>
              <w:t> </w:t>
            </w:r>
          </w:p>
        </w:tc>
        <w:tc>
          <w:tcPr>
            <w:tcW w:w="709" w:type="dxa"/>
            <w:tcBorders>
              <w:top w:val="single" w:sz="4" w:space="0" w:color="3C3C3C"/>
            </w:tcBorders>
            <w:shd w:val="clear" w:color="auto" w:fill="auto"/>
            <w:noWrap/>
            <w:vAlign w:val="bottom"/>
            <w:hideMark/>
          </w:tcPr>
          <w:p w14:paraId="6F14F04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217</w:t>
            </w:r>
          </w:p>
        </w:tc>
        <w:tc>
          <w:tcPr>
            <w:tcW w:w="1134" w:type="dxa"/>
            <w:tcBorders>
              <w:top w:val="single" w:sz="4" w:space="0" w:color="3C3C3C"/>
              <w:right w:val="single" w:sz="4" w:space="0" w:color="3C3C3C"/>
            </w:tcBorders>
            <w:shd w:val="clear" w:color="auto" w:fill="auto"/>
            <w:noWrap/>
            <w:vAlign w:val="bottom"/>
            <w:hideMark/>
          </w:tcPr>
          <w:p w14:paraId="11529B34" w14:textId="77777777" w:rsidR="007753E7" w:rsidRPr="002B2821" w:rsidRDefault="007753E7" w:rsidP="00F9539E">
            <w:pPr>
              <w:spacing w:after="0" w:line="240" w:lineRule="auto"/>
              <w:rPr>
                <w:rFonts w:ascii="Calibri" w:hAnsi="Calibri" w:cs="Arial"/>
                <w:sz w:val="18"/>
                <w:szCs w:val="18"/>
                <w:lang w:eastAsia="en-GB"/>
              </w:rPr>
            </w:pPr>
            <w:r w:rsidRPr="002B2821">
              <w:rPr>
                <w:rFonts w:ascii="Calibri" w:hAnsi="Calibri" w:cs="Arial"/>
                <w:sz w:val="18"/>
                <w:szCs w:val="18"/>
                <w:lang w:eastAsia="en-GB"/>
              </w:rPr>
              <w:t> </w:t>
            </w:r>
          </w:p>
        </w:tc>
        <w:tc>
          <w:tcPr>
            <w:tcW w:w="993" w:type="dxa"/>
            <w:tcBorders>
              <w:top w:val="single" w:sz="4" w:space="0" w:color="3C3C3C"/>
              <w:left w:val="single" w:sz="4" w:space="0" w:color="3C3C3C"/>
            </w:tcBorders>
            <w:shd w:val="clear" w:color="auto" w:fill="auto"/>
            <w:noWrap/>
            <w:vAlign w:val="bottom"/>
            <w:hideMark/>
          </w:tcPr>
          <w:p w14:paraId="2918D16A" w14:textId="77777777" w:rsidR="007753E7" w:rsidRPr="002B2821" w:rsidRDefault="007753E7" w:rsidP="00F9539E">
            <w:pPr>
              <w:spacing w:after="0" w:line="240" w:lineRule="auto"/>
              <w:rPr>
                <w:rFonts w:ascii="Calibri" w:hAnsi="Calibri" w:cs="Arial"/>
                <w:sz w:val="18"/>
                <w:szCs w:val="18"/>
                <w:lang w:eastAsia="en-GB"/>
              </w:rPr>
            </w:pPr>
          </w:p>
        </w:tc>
        <w:tc>
          <w:tcPr>
            <w:tcW w:w="850" w:type="dxa"/>
            <w:shd w:val="clear" w:color="auto" w:fill="auto"/>
            <w:noWrap/>
            <w:vAlign w:val="bottom"/>
            <w:hideMark/>
          </w:tcPr>
          <w:p w14:paraId="382699D6"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1</w:t>
            </w:r>
            <w:r>
              <w:rPr>
                <w:rFonts w:ascii="Calibri" w:hAnsi="Calibri" w:cs="Arial"/>
                <w:sz w:val="18"/>
                <w:szCs w:val="18"/>
                <w:lang w:eastAsia="en-GB"/>
              </w:rPr>
              <w:t>,</w:t>
            </w:r>
            <w:r w:rsidRPr="002B2821">
              <w:rPr>
                <w:rFonts w:ascii="Calibri" w:hAnsi="Calibri" w:cs="Arial"/>
                <w:sz w:val="18"/>
                <w:szCs w:val="18"/>
                <w:lang w:eastAsia="en-GB"/>
              </w:rPr>
              <w:t>106</w:t>
            </w:r>
          </w:p>
        </w:tc>
        <w:tc>
          <w:tcPr>
            <w:tcW w:w="851" w:type="dxa"/>
            <w:shd w:val="clear" w:color="auto" w:fill="auto"/>
            <w:noWrap/>
            <w:vAlign w:val="bottom"/>
            <w:hideMark/>
          </w:tcPr>
          <w:p w14:paraId="3BE887C6"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62AD9962" w14:textId="77777777" w:rsidR="007753E7" w:rsidRPr="002B2821" w:rsidRDefault="007753E7" w:rsidP="00F9539E">
            <w:pPr>
              <w:spacing w:after="0" w:line="240" w:lineRule="auto"/>
              <w:rPr>
                <w:lang w:eastAsia="en-GB"/>
              </w:rPr>
            </w:pPr>
          </w:p>
        </w:tc>
      </w:tr>
      <w:tr w:rsidR="007753E7" w:rsidRPr="002B2821" w14:paraId="5EDEE3A7" w14:textId="77777777" w:rsidTr="00DE4819">
        <w:trPr>
          <w:gridAfter w:val="1"/>
          <w:wAfter w:w="141" w:type="dxa"/>
          <w:trHeight w:val="234"/>
        </w:trPr>
        <w:tc>
          <w:tcPr>
            <w:tcW w:w="261" w:type="dxa"/>
            <w:shd w:val="clear" w:color="auto" w:fill="auto"/>
            <w:noWrap/>
            <w:vAlign w:val="bottom"/>
            <w:hideMark/>
          </w:tcPr>
          <w:p w14:paraId="599939FA"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6651FEC4"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72A781F6" w14:textId="77777777" w:rsidR="007753E7" w:rsidRPr="002B2821" w:rsidRDefault="007753E7" w:rsidP="00F9539E">
            <w:pPr>
              <w:spacing w:after="0" w:line="240" w:lineRule="auto"/>
              <w:rPr>
                <w:lang w:eastAsia="en-GB"/>
              </w:rPr>
            </w:pPr>
          </w:p>
        </w:tc>
        <w:tc>
          <w:tcPr>
            <w:tcW w:w="1276" w:type="dxa"/>
            <w:shd w:val="clear" w:color="auto" w:fill="auto"/>
            <w:noWrap/>
            <w:vAlign w:val="bottom"/>
            <w:hideMark/>
          </w:tcPr>
          <w:p w14:paraId="1F31B5A0" w14:textId="77777777" w:rsidR="007753E7" w:rsidRPr="002B2821" w:rsidRDefault="007753E7" w:rsidP="00F9539E">
            <w:pPr>
              <w:spacing w:after="0" w:line="240" w:lineRule="auto"/>
              <w:rPr>
                <w:lang w:eastAsia="en-GB"/>
              </w:rPr>
            </w:pPr>
          </w:p>
        </w:tc>
        <w:tc>
          <w:tcPr>
            <w:tcW w:w="850" w:type="dxa"/>
            <w:gridSpan w:val="2"/>
            <w:shd w:val="clear" w:color="auto" w:fill="auto"/>
            <w:noWrap/>
            <w:vAlign w:val="bottom"/>
            <w:hideMark/>
          </w:tcPr>
          <w:p w14:paraId="51118D52" w14:textId="77777777" w:rsidR="007753E7" w:rsidRPr="002B2821" w:rsidRDefault="007753E7" w:rsidP="00F9539E">
            <w:pPr>
              <w:spacing w:after="0" w:line="240" w:lineRule="auto"/>
              <w:rPr>
                <w:lang w:eastAsia="en-GB"/>
              </w:rPr>
            </w:pPr>
          </w:p>
        </w:tc>
        <w:tc>
          <w:tcPr>
            <w:tcW w:w="1054" w:type="dxa"/>
            <w:tcBorders>
              <w:right w:val="single" w:sz="4" w:space="0" w:color="3C3C3C"/>
            </w:tcBorders>
            <w:shd w:val="clear" w:color="auto" w:fill="auto"/>
            <w:noWrap/>
            <w:vAlign w:val="bottom"/>
            <w:hideMark/>
          </w:tcPr>
          <w:p w14:paraId="29676698" w14:textId="77777777" w:rsidR="007753E7" w:rsidRPr="002B2821" w:rsidRDefault="007753E7" w:rsidP="00F9539E">
            <w:pPr>
              <w:spacing w:after="0" w:line="240" w:lineRule="auto"/>
              <w:rPr>
                <w:lang w:eastAsia="en-GB"/>
              </w:rPr>
            </w:pPr>
          </w:p>
        </w:tc>
        <w:tc>
          <w:tcPr>
            <w:tcW w:w="1214" w:type="dxa"/>
            <w:tcBorders>
              <w:left w:val="single" w:sz="4" w:space="0" w:color="3C3C3C"/>
              <w:bottom w:val="single" w:sz="4" w:space="0" w:color="3C3C3C"/>
            </w:tcBorders>
            <w:shd w:val="clear" w:color="auto" w:fill="auto"/>
            <w:noWrap/>
            <w:vAlign w:val="bottom"/>
            <w:hideMark/>
          </w:tcPr>
          <w:p w14:paraId="7ED7ACF5" w14:textId="77777777" w:rsidR="007753E7" w:rsidRPr="002B2821" w:rsidRDefault="007753E7" w:rsidP="00F9539E">
            <w:pPr>
              <w:spacing w:after="0" w:line="240" w:lineRule="auto"/>
              <w:rPr>
                <w:lang w:eastAsia="en-GB"/>
              </w:rPr>
            </w:pPr>
          </w:p>
        </w:tc>
        <w:tc>
          <w:tcPr>
            <w:tcW w:w="709" w:type="dxa"/>
            <w:tcBorders>
              <w:bottom w:val="single" w:sz="4" w:space="0" w:color="3C3C3C"/>
            </w:tcBorders>
            <w:shd w:val="clear" w:color="auto" w:fill="auto"/>
            <w:noWrap/>
            <w:vAlign w:val="bottom"/>
            <w:hideMark/>
          </w:tcPr>
          <w:p w14:paraId="331327BE" w14:textId="77777777" w:rsidR="007753E7" w:rsidRPr="002B2821" w:rsidRDefault="007753E7" w:rsidP="00F9539E">
            <w:pPr>
              <w:spacing w:after="0" w:line="240" w:lineRule="auto"/>
              <w:rPr>
                <w:lang w:eastAsia="en-GB"/>
              </w:rPr>
            </w:pPr>
          </w:p>
        </w:tc>
        <w:tc>
          <w:tcPr>
            <w:tcW w:w="1134" w:type="dxa"/>
            <w:tcBorders>
              <w:bottom w:val="single" w:sz="4" w:space="0" w:color="3C3C3C"/>
              <w:right w:val="single" w:sz="4" w:space="0" w:color="3C3C3C"/>
            </w:tcBorders>
            <w:shd w:val="clear" w:color="auto" w:fill="auto"/>
            <w:noWrap/>
            <w:vAlign w:val="bottom"/>
            <w:hideMark/>
          </w:tcPr>
          <w:p w14:paraId="00E87DDE" w14:textId="77777777" w:rsidR="007753E7" w:rsidRPr="002B2821" w:rsidRDefault="007753E7" w:rsidP="00F9539E">
            <w:pPr>
              <w:spacing w:after="0" w:line="240" w:lineRule="auto"/>
              <w:rPr>
                <w:lang w:eastAsia="en-GB"/>
              </w:rPr>
            </w:pPr>
          </w:p>
        </w:tc>
        <w:tc>
          <w:tcPr>
            <w:tcW w:w="993" w:type="dxa"/>
            <w:tcBorders>
              <w:left w:val="single" w:sz="4" w:space="0" w:color="3C3C3C"/>
            </w:tcBorders>
            <w:shd w:val="clear" w:color="auto" w:fill="auto"/>
            <w:noWrap/>
            <w:vAlign w:val="bottom"/>
            <w:hideMark/>
          </w:tcPr>
          <w:p w14:paraId="723158F4" w14:textId="77777777" w:rsidR="007753E7" w:rsidRPr="002B2821" w:rsidRDefault="007753E7" w:rsidP="00F9539E">
            <w:pPr>
              <w:spacing w:after="0" w:line="240" w:lineRule="auto"/>
              <w:rPr>
                <w:lang w:eastAsia="en-GB"/>
              </w:rPr>
            </w:pPr>
          </w:p>
        </w:tc>
        <w:tc>
          <w:tcPr>
            <w:tcW w:w="850" w:type="dxa"/>
            <w:shd w:val="clear" w:color="auto" w:fill="auto"/>
            <w:noWrap/>
            <w:vAlign w:val="bottom"/>
            <w:hideMark/>
          </w:tcPr>
          <w:p w14:paraId="6A2E8864" w14:textId="77777777" w:rsidR="007753E7" w:rsidRPr="002B2821" w:rsidRDefault="007753E7" w:rsidP="00F9539E">
            <w:pPr>
              <w:spacing w:after="0" w:line="240" w:lineRule="auto"/>
              <w:rPr>
                <w:lang w:eastAsia="en-GB"/>
              </w:rPr>
            </w:pPr>
          </w:p>
        </w:tc>
        <w:tc>
          <w:tcPr>
            <w:tcW w:w="851" w:type="dxa"/>
            <w:shd w:val="clear" w:color="auto" w:fill="auto"/>
            <w:noWrap/>
            <w:vAlign w:val="bottom"/>
            <w:hideMark/>
          </w:tcPr>
          <w:p w14:paraId="16336489"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4CA48714" w14:textId="77777777" w:rsidR="007753E7" w:rsidRPr="002B2821" w:rsidRDefault="007753E7" w:rsidP="00F9539E">
            <w:pPr>
              <w:spacing w:after="0" w:line="240" w:lineRule="auto"/>
              <w:rPr>
                <w:lang w:eastAsia="en-GB"/>
              </w:rPr>
            </w:pPr>
          </w:p>
        </w:tc>
      </w:tr>
      <w:tr w:rsidR="007753E7" w:rsidRPr="002B2821" w14:paraId="6CCDA86B" w14:textId="77777777" w:rsidTr="00DE4819">
        <w:trPr>
          <w:gridAfter w:val="1"/>
          <w:wAfter w:w="141" w:type="dxa"/>
          <w:trHeight w:val="234"/>
        </w:trPr>
        <w:tc>
          <w:tcPr>
            <w:tcW w:w="261" w:type="dxa"/>
            <w:shd w:val="clear" w:color="auto" w:fill="auto"/>
            <w:noWrap/>
            <w:vAlign w:val="bottom"/>
            <w:hideMark/>
          </w:tcPr>
          <w:p w14:paraId="27D07242" w14:textId="77777777" w:rsidR="007753E7" w:rsidRPr="002B2821" w:rsidRDefault="007753E7" w:rsidP="00F9539E">
            <w:pPr>
              <w:spacing w:after="0" w:line="240" w:lineRule="auto"/>
              <w:rPr>
                <w:lang w:eastAsia="en-GB"/>
              </w:rPr>
            </w:pPr>
          </w:p>
        </w:tc>
        <w:tc>
          <w:tcPr>
            <w:tcW w:w="2092" w:type="dxa"/>
            <w:gridSpan w:val="3"/>
            <w:shd w:val="clear" w:color="auto" w:fill="auto"/>
            <w:noWrap/>
            <w:vAlign w:val="bottom"/>
            <w:hideMark/>
          </w:tcPr>
          <w:p w14:paraId="02BC19BC" w14:textId="77777777" w:rsidR="007753E7" w:rsidRPr="002B2821" w:rsidRDefault="007753E7" w:rsidP="00F9539E">
            <w:pPr>
              <w:spacing w:after="0" w:line="240" w:lineRule="auto"/>
              <w:rPr>
                <w:rFonts w:ascii="Calibri" w:hAnsi="Calibri" w:cs="Arial"/>
                <w:lang w:eastAsia="en-GB"/>
              </w:rPr>
            </w:pPr>
          </w:p>
        </w:tc>
        <w:tc>
          <w:tcPr>
            <w:tcW w:w="1276" w:type="dxa"/>
            <w:tcBorders>
              <w:bottom w:val="single" w:sz="4" w:space="0" w:color="3C3C3C"/>
            </w:tcBorders>
            <w:shd w:val="clear" w:color="auto" w:fill="auto"/>
            <w:noWrap/>
            <w:vAlign w:val="bottom"/>
            <w:hideMark/>
          </w:tcPr>
          <w:p w14:paraId="0533E6EA" w14:textId="77777777" w:rsidR="007753E7" w:rsidRPr="002B2821" w:rsidRDefault="007753E7" w:rsidP="00F9539E">
            <w:pPr>
              <w:spacing w:after="0" w:line="240" w:lineRule="auto"/>
              <w:rPr>
                <w:rFonts w:ascii="Calibri" w:hAnsi="Calibri" w:cs="Arial"/>
                <w:lang w:eastAsia="en-GB"/>
              </w:rPr>
            </w:pPr>
          </w:p>
        </w:tc>
        <w:tc>
          <w:tcPr>
            <w:tcW w:w="850" w:type="dxa"/>
            <w:gridSpan w:val="2"/>
            <w:tcBorders>
              <w:bottom w:val="single" w:sz="4" w:space="0" w:color="3C3C3C"/>
            </w:tcBorders>
            <w:shd w:val="clear" w:color="auto" w:fill="auto"/>
            <w:noWrap/>
            <w:vAlign w:val="bottom"/>
            <w:hideMark/>
          </w:tcPr>
          <w:p w14:paraId="332E5988" w14:textId="77777777" w:rsidR="007753E7" w:rsidRPr="002B2821" w:rsidRDefault="007753E7" w:rsidP="00F9539E">
            <w:pPr>
              <w:spacing w:after="0" w:line="240" w:lineRule="auto"/>
              <w:rPr>
                <w:lang w:eastAsia="en-GB"/>
              </w:rPr>
            </w:pPr>
          </w:p>
        </w:tc>
        <w:tc>
          <w:tcPr>
            <w:tcW w:w="1054" w:type="dxa"/>
            <w:tcBorders>
              <w:bottom w:val="single" w:sz="4" w:space="0" w:color="3C3C3C"/>
            </w:tcBorders>
            <w:shd w:val="clear" w:color="auto" w:fill="auto"/>
            <w:noWrap/>
            <w:vAlign w:val="bottom"/>
            <w:hideMark/>
          </w:tcPr>
          <w:p w14:paraId="142D7B8F" w14:textId="77777777" w:rsidR="007753E7" w:rsidRPr="002B2821" w:rsidRDefault="007753E7" w:rsidP="00F9539E">
            <w:pPr>
              <w:spacing w:after="0" w:line="240" w:lineRule="auto"/>
              <w:rPr>
                <w:lang w:eastAsia="en-GB"/>
              </w:rPr>
            </w:pPr>
          </w:p>
        </w:tc>
        <w:tc>
          <w:tcPr>
            <w:tcW w:w="1214" w:type="dxa"/>
            <w:tcBorders>
              <w:top w:val="single" w:sz="4" w:space="0" w:color="3C3C3C"/>
              <w:bottom w:val="single" w:sz="4" w:space="0" w:color="3C3C3C"/>
            </w:tcBorders>
            <w:shd w:val="clear" w:color="auto" w:fill="auto"/>
            <w:noWrap/>
            <w:vAlign w:val="bottom"/>
            <w:hideMark/>
          </w:tcPr>
          <w:p w14:paraId="2FE9DA48" w14:textId="77777777" w:rsidR="007753E7" w:rsidRPr="002B2821" w:rsidRDefault="007753E7" w:rsidP="00F9539E">
            <w:pPr>
              <w:spacing w:after="0" w:line="240" w:lineRule="auto"/>
              <w:rPr>
                <w:lang w:eastAsia="en-GB"/>
              </w:rPr>
            </w:pPr>
          </w:p>
        </w:tc>
        <w:tc>
          <w:tcPr>
            <w:tcW w:w="709" w:type="dxa"/>
            <w:tcBorders>
              <w:top w:val="single" w:sz="4" w:space="0" w:color="3C3C3C"/>
              <w:bottom w:val="single" w:sz="4" w:space="0" w:color="3C3C3C"/>
            </w:tcBorders>
            <w:shd w:val="clear" w:color="auto" w:fill="auto"/>
            <w:noWrap/>
            <w:vAlign w:val="bottom"/>
            <w:hideMark/>
          </w:tcPr>
          <w:p w14:paraId="3967B644" w14:textId="77777777" w:rsidR="007753E7" w:rsidRPr="002B2821" w:rsidRDefault="007753E7" w:rsidP="00F9539E">
            <w:pPr>
              <w:spacing w:after="0" w:line="240" w:lineRule="auto"/>
              <w:rPr>
                <w:lang w:eastAsia="en-GB"/>
              </w:rPr>
            </w:pPr>
          </w:p>
        </w:tc>
        <w:tc>
          <w:tcPr>
            <w:tcW w:w="1134" w:type="dxa"/>
            <w:tcBorders>
              <w:top w:val="single" w:sz="4" w:space="0" w:color="3C3C3C"/>
              <w:bottom w:val="single" w:sz="4" w:space="0" w:color="3C3C3C"/>
            </w:tcBorders>
            <w:shd w:val="clear" w:color="auto" w:fill="auto"/>
            <w:noWrap/>
            <w:vAlign w:val="bottom"/>
            <w:hideMark/>
          </w:tcPr>
          <w:p w14:paraId="5AC81014" w14:textId="77777777" w:rsidR="007753E7" w:rsidRPr="002B2821" w:rsidRDefault="007753E7" w:rsidP="00F9539E">
            <w:pPr>
              <w:spacing w:after="0" w:line="240" w:lineRule="auto"/>
              <w:rPr>
                <w:lang w:eastAsia="en-GB"/>
              </w:rPr>
            </w:pPr>
          </w:p>
        </w:tc>
        <w:tc>
          <w:tcPr>
            <w:tcW w:w="993" w:type="dxa"/>
            <w:tcBorders>
              <w:bottom w:val="single" w:sz="4" w:space="0" w:color="3C3C3C"/>
            </w:tcBorders>
            <w:shd w:val="clear" w:color="auto" w:fill="auto"/>
            <w:noWrap/>
            <w:vAlign w:val="bottom"/>
            <w:hideMark/>
          </w:tcPr>
          <w:p w14:paraId="481DA86E" w14:textId="77777777" w:rsidR="007753E7" w:rsidRPr="002B2821" w:rsidRDefault="007753E7" w:rsidP="00F9539E">
            <w:pPr>
              <w:spacing w:after="0" w:line="240" w:lineRule="auto"/>
              <w:rPr>
                <w:lang w:eastAsia="en-GB"/>
              </w:rPr>
            </w:pPr>
          </w:p>
        </w:tc>
        <w:tc>
          <w:tcPr>
            <w:tcW w:w="850" w:type="dxa"/>
            <w:tcBorders>
              <w:bottom w:val="single" w:sz="4" w:space="0" w:color="3C3C3C"/>
            </w:tcBorders>
            <w:shd w:val="clear" w:color="auto" w:fill="auto"/>
            <w:noWrap/>
            <w:vAlign w:val="bottom"/>
            <w:hideMark/>
          </w:tcPr>
          <w:p w14:paraId="34D363A5" w14:textId="77777777" w:rsidR="007753E7" w:rsidRPr="002B2821" w:rsidRDefault="007753E7" w:rsidP="00F9539E">
            <w:pPr>
              <w:spacing w:after="0" w:line="240" w:lineRule="auto"/>
              <w:rPr>
                <w:lang w:eastAsia="en-GB"/>
              </w:rPr>
            </w:pPr>
          </w:p>
        </w:tc>
        <w:tc>
          <w:tcPr>
            <w:tcW w:w="851" w:type="dxa"/>
            <w:shd w:val="clear" w:color="auto" w:fill="auto"/>
            <w:noWrap/>
            <w:vAlign w:val="bottom"/>
            <w:hideMark/>
          </w:tcPr>
          <w:p w14:paraId="2CA2890F"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7270CF4D" w14:textId="77777777" w:rsidR="007753E7" w:rsidRPr="002B2821" w:rsidRDefault="007753E7" w:rsidP="00F9539E">
            <w:pPr>
              <w:spacing w:after="0" w:line="240" w:lineRule="auto"/>
              <w:rPr>
                <w:lang w:eastAsia="en-GB"/>
              </w:rPr>
            </w:pPr>
          </w:p>
        </w:tc>
      </w:tr>
      <w:tr w:rsidR="007753E7" w:rsidRPr="002B2821" w14:paraId="06C00650" w14:textId="77777777" w:rsidTr="00DE4819">
        <w:trPr>
          <w:gridAfter w:val="1"/>
          <w:wAfter w:w="141" w:type="dxa"/>
          <w:trHeight w:val="234"/>
        </w:trPr>
        <w:tc>
          <w:tcPr>
            <w:tcW w:w="261" w:type="dxa"/>
            <w:shd w:val="clear" w:color="auto" w:fill="auto"/>
            <w:noWrap/>
            <w:vAlign w:val="bottom"/>
            <w:hideMark/>
          </w:tcPr>
          <w:p w14:paraId="28C2FCFF" w14:textId="77777777" w:rsidR="007753E7" w:rsidRPr="002B2821" w:rsidRDefault="007753E7" w:rsidP="00F9539E">
            <w:pPr>
              <w:spacing w:after="0" w:line="240" w:lineRule="auto"/>
              <w:rPr>
                <w:lang w:eastAsia="en-GB"/>
              </w:rPr>
            </w:pPr>
          </w:p>
        </w:tc>
        <w:tc>
          <w:tcPr>
            <w:tcW w:w="2092" w:type="dxa"/>
            <w:gridSpan w:val="3"/>
            <w:tcBorders>
              <w:right w:val="single" w:sz="4" w:space="0" w:color="3C3C3C"/>
            </w:tcBorders>
            <w:shd w:val="clear" w:color="auto" w:fill="auto"/>
            <w:noWrap/>
            <w:vAlign w:val="bottom"/>
            <w:hideMark/>
          </w:tcPr>
          <w:p w14:paraId="5B707A4F" w14:textId="77777777" w:rsidR="007753E7" w:rsidRPr="002B2821" w:rsidRDefault="007753E7" w:rsidP="00F9539E">
            <w:pPr>
              <w:spacing w:after="0" w:line="240" w:lineRule="auto"/>
              <w:rPr>
                <w:rFonts w:ascii="Calibri" w:hAnsi="Calibri" w:cs="Arial"/>
                <w:lang w:eastAsia="en-GB"/>
              </w:rPr>
            </w:pPr>
            <w:r w:rsidRPr="002B2821">
              <w:rPr>
                <w:rFonts w:ascii="Calibri" w:hAnsi="Calibri" w:cs="Arial"/>
                <w:lang w:eastAsia="en-GB"/>
              </w:rPr>
              <w:t>Total Restricted costs</w:t>
            </w:r>
          </w:p>
        </w:tc>
        <w:tc>
          <w:tcPr>
            <w:tcW w:w="1276" w:type="dxa"/>
            <w:tcBorders>
              <w:top w:val="single" w:sz="4" w:space="0" w:color="3C3C3C"/>
              <w:left w:val="single" w:sz="4" w:space="0" w:color="3C3C3C"/>
              <w:bottom w:val="single" w:sz="4" w:space="0" w:color="3C3C3C"/>
            </w:tcBorders>
            <w:shd w:val="clear" w:color="auto" w:fill="auto"/>
            <w:noWrap/>
            <w:vAlign w:val="bottom"/>
            <w:hideMark/>
          </w:tcPr>
          <w:p w14:paraId="051100F8"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4</w:t>
            </w:r>
          </w:p>
        </w:tc>
        <w:tc>
          <w:tcPr>
            <w:tcW w:w="850" w:type="dxa"/>
            <w:gridSpan w:val="2"/>
            <w:tcBorders>
              <w:top w:val="single" w:sz="4" w:space="0" w:color="3C3C3C"/>
              <w:bottom w:val="single" w:sz="4" w:space="0" w:color="3C3C3C"/>
            </w:tcBorders>
            <w:shd w:val="clear" w:color="auto" w:fill="auto"/>
            <w:noWrap/>
            <w:vAlign w:val="bottom"/>
            <w:hideMark/>
          </w:tcPr>
          <w:p w14:paraId="785EDC84"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90</w:t>
            </w:r>
          </w:p>
        </w:tc>
        <w:tc>
          <w:tcPr>
            <w:tcW w:w="1054" w:type="dxa"/>
            <w:tcBorders>
              <w:top w:val="single" w:sz="4" w:space="0" w:color="3C3C3C"/>
              <w:bottom w:val="single" w:sz="4" w:space="0" w:color="3C3C3C"/>
            </w:tcBorders>
            <w:shd w:val="clear" w:color="auto" w:fill="auto"/>
            <w:noWrap/>
            <w:vAlign w:val="bottom"/>
            <w:hideMark/>
          </w:tcPr>
          <w:p w14:paraId="6A3EBD85"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244</w:t>
            </w:r>
          </w:p>
        </w:tc>
        <w:tc>
          <w:tcPr>
            <w:tcW w:w="1214" w:type="dxa"/>
            <w:tcBorders>
              <w:top w:val="single" w:sz="4" w:space="0" w:color="3C3C3C"/>
              <w:bottom w:val="single" w:sz="4" w:space="0" w:color="3C3C3C"/>
            </w:tcBorders>
            <w:shd w:val="clear" w:color="auto" w:fill="auto"/>
            <w:noWrap/>
            <w:vAlign w:val="bottom"/>
            <w:hideMark/>
          </w:tcPr>
          <w:p w14:paraId="03F9840B" w14:textId="77777777" w:rsidR="007753E7" w:rsidRPr="002B2821" w:rsidRDefault="007753E7" w:rsidP="00F9539E">
            <w:pPr>
              <w:spacing w:after="0" w:line="240" w:lineRule="auto"/>
              <w:jc w:val="right"/>
              <w:rPr>
                <w:rFonts w:ascii="Calibri" w:hAnsi="Calibri" w:cs="Arial"/>
                <w:sz w:val="18"/>
                <w:szCs w:val="18"/>
                <w:lang w:eastAsia="en-GB"/>
              </w:rPr>
            </w:pPr>
            <w:r>
              <w:rPr>
                <w:rFonts w:ascii="Calibri" w:hAnsi="Calibri" w:cs="Arial"/>
                <w:sz w:val="18"/>
                <w:szCs w:val="18"/>
                <w:lang w:eastAsia="en-GB"/>
              </w:rPr>
              <w:t xml:space="preserve">       </w:t>
            </w:r>
          </w:p>
        </w:tc>
        <w:tc>
          <w:tcPr>
            <w:tcW w:w="709" w:type="dxa"/>
            <w:tcBorders>
              <w:top w:val="single" w:sz="4" w:space="0" w:color="3C3C3C"/>
              <w:bottom w:val="single" w:sz="4" w:space="0" w:color="3C3C3C"/>
            </w:tcBorders>
            <w:shd w:val="clear" w:color="auto" w:fill="auto"/>
            <w:noWrap/>
            <w:vAlign w:val="bottom"/>
            <w:hideMark/>
          </w:tcPr>
          <w:p w14:paraId="164B3C9E"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37</w:t>
            </w:r>
          </w:p>
        </w:tc>
        <w:tc>
          <w:tcPr>
            <w:tcW w:w="1134" w:type="dxa"/>
            <w:tcBorders>
              <w:top w:val="single" w:sz="4" w:space="0" w:color="3C3C3C"/>
              <w:bottom w:val="single" w:sz="4" w:space="0" w:color="3C3C3C"/>
            </w:tcBorders>
            <w:shd w:val="clear" w:color="auto" w:fill="auto"/>
            <w:noWrap/>
            <w:vAlign w:val="bottom"/>
            <w:hideMark/>
          </w:tcPr>
          <w:p w14:paraId="5F6129BA" w14:textId="77777777" w:rsidR="007753E7" w:rsidRPr="002B2821" w:rsidRDefault="007753E7" w:rsidP="00F9539E">
            <w:pPr>
              <w:spacing w:after="0" w:line="240" w:lineRule="auto"/>
              <w:rPr>
                <w:lang w:eastAsia="en-GB"/>
              </w:rPr>
            </w:pPr>
          </w:p>
        </w:tc>
        <w:tc>
          <w:tcPr>
            <w:tcW w:w="993" w:type="dxa"/>
            <w:tcBorders>
              <w:top w:val="single" w:sz="4" w:space="0" w:color="3C3C3C"/>
              <w:bottom w:val="single" w:sz="4" w:space="0" w:color="3C3C3C"/>
            </w:tcBorders>
            <w:shd w:val="clear" w:color="auto" w:fill="auto"/>
            <w:noWrap/>
            <w:vAlign w:val="bottom"/>
            <w:hideMark/>
          </w:tcPr>
          <w:p w14:paraId="2D8AA47B" w14:textId="77777777" w:rsidR="007753E7" w:rsidRPr="002B2821" w:rsidRDefault="007753E7" w:rsidP="00F9539E">
            <w:pPr>
              <w:spacing w:after="0" w:line="240" w:lineRule="auto"/>
              <w:rPr>
                <w:lang w:eastAsia="en-GB"/>
              </w:rPr>
            </w:pPr>
          </w:p>
        </w:tc>
        <w:tc>
          <w:tcPr>
            <w:tcW w:w="850" w:type="dxa"/>
            <w:tcBorders>
              <w:top w:val="single" w:sz="4" w:space="0" w:color="3C3C3C"/>
              <w:bottom w:val="single" w:sz="4" w:space="0" w:color="3C3C3C"/>
              <w:right w:val="single" w:sz="4" w:space="0" w:color="3C3C3C"/>
            </w:tcBorders>
            <w:shd w:val="clear" w:color="auto" w:fill="auto"/>
            <w:noWrap/>
            <w:vAlign w:val="bottom"/>
            <w:hideMark/>
          </w:tcPr>
          <w:p w14:paraId="3AD4C957" w14:textId="77777777" w:rsidR="007753E7" w:rsidRPr="002B2821" w:rsidRDefault="007753E7" w:rsidP="00F9539E">
            <w:pPr>
              <w:spacing w:after="0" w:line="240" w:lineRule="auto"/>
              <w:jc w:val="right"/>
              <w:rPr>
                <w:rFonts w:ascii="Calibri" w:hAnsi="Calibri" w:cs="Arial"/>
                <w:sz w:val="18"/>
                <w:szCs w:val="18"/>
                <w:lang w:eastAsia="en-GB"/>
              </w:rPr>
            </w:pPr>
            <w:r w:rsidRPr="002B2821">
              <w:rPr>
                <w:rFonts w:ascii="Calibri" w:hAnsi="Calibri" w:cs="Arial"/>
                <w:sz w:val="18"/>
                <w:szCs w:val="18"/>
                <w:lang w:eastAsia="en-GB"/>
              </w:rPr>
              <w:t>375</w:t>
            </w:r>
          </w:p>
        </w:tc>
        <w:tc>
          <w:tcPr>
            <w:tcW w:w="851" w:type="dxa"/>
            <w:tcBorders>
              <w:left w:val="single" w:sz="4" w:space="0" w:color="3C3C3C"/>
            </w:tcBorders>
            <w:shd w:val="clear" w:color="auto" w:fill="auto"/>
            <w:noWrap/>
            <w:vAlign w:val="bottom"/>
            <w:hideMark/>
          </w:tcPr>
          <w:p w14:paraId="103CF376" w14:textId="77777777" w:rsidR="007753E7" w:rsidRPr="002B2821" w:rsidRDefault="007753E7" w:rsidP="00F9539E">
            <w:pPr>
              <w:spacing w:after="0" w:line="240" w:lineRule="auto"/>
              <w:jc w:val="right"/>
              <w:rPr>
                <w:rFonts w:ascii="Calibri" w:hAnsi="Calibri" w:cs="Arial"/>
                <w:sz w:val="18"/>
                <w:szCs w:val="18"/>
                <w:lang w:eastAsia="en-GB"/>
              </w:rPr>
            </w:pPr>
          </w:p>
        </w:tc>
        <w:tc>
          <w:tcPr>
            <w:tcW w:w="238" w:type="dxa"/>
            <w:gridSpan w:val="2"/>
            <w:shd w:val="clear" w:color="auto" w:fill="auto"/>
            <w:noWrap/>
            <w:vAlign w:val="bottom"/>
            <w:hideMark/>
          </w:tcPr>
          <w:p w14:paraId="0D54BC14" w14:textId="77777777" w:rsidR="007753E7" w:rsidRPr="002B2821" w:rsidRDefault="007753E7" w:rsidP="00F9539E">
            <w:pPr>
              <w:spacing w:after="0" w:line="240" w:lineRule="auto"/>
              <w:rPr>
                <w:lang w:eastAsia="en-GB"/>
              </w:rPr>
            </w:pPr>
          </w:p>
        </w:tc>
      </w:tr>
      <w:tr w:rsidR="007753E7" w:rsidRPr="002B2821" w14:paraId="4D8AB3C2" w14:textId="77777777" w:rsidTr="00DE4819">
        <w:trPr>
          <w:gridAfter w:val="1"/>
          <w:wAfter w:w="141" w:type="dxa"/>
          <w:trHeight w:val="220"/>
        </w:trPr>
        <w:tc>
          <w:tcPr>
            <w:tcW w:w="261" w:type="dxa"/>
            <w:shd w:val="clear" w:color="auto" w:fill="auto"/>
            <w:noWrap/>
            <w:vAlign w:val="bottom"/>
            <w:hideMark/>
          </w:tcPr>
          <w:p w14:paraId="0FBEE3A3" w14:textId="77777777" w:rsidR="007753E7" w:rsidRPr="002B2821" w:rsidRDefault="007753E7" w:rsidP="00F9539E">
            <w:pPr>
              <w:spacing w:after="0" w:line="240" w:lineRule="auto"/>
              <w:rPr>
                <w:lang w:eastAsia="en-GB"/>
              </w:rPr>
            </w:pPr>
          </w:p>
        </w:tc>
        <w:tc>
          <w:tcPr>
            <w:tcW w:w="249" w:type="dxa"/>
            <w:shd w:val="clear" w:color="auto" w:fill="auto"/>
            <w:noWrap/>
            <w:vAlign w:val="bottom"/>
            <w:hideMark/>
          </w:tcPr>
          <w:p w14:paraId="292F9D03" w14:textId="77777777" w:rsidR="007753E7" w:rsidRPr="002B2821" w:rsidRDefault="007753E7" w:rsidP="00F9539E">
            <w:pPr>
              <w:spacing w:after="0" w:line="240" w:lineRule="auto"/>
              <w:rPr>
                <w:lang w:eastAsia="en-GB"/>
              </w:rPr>
            </w:pPr>
          </w:p>
        </w:tc>
        <w:tc>
          <w:tcPr>
            <w:tcW w:w="1843" w:type="dxa"/>
            <w:gridSpan w:val="2"/>
            <w:shd w:val="clear" w:color="auto" w:fill="auto"/>
            <w:noWrap/>
            <w:vAlign w:val="bottom"/>
            <w:hideMark/>
          </w:tcPr>
          <w:p w14:paraId="22A749CB" w14:textId="77777777" w:rsidR="007753E7" w:rsidRPr="002B2821" w:rsidRDefault="007753E7" w:rsidP="00F9539E">
            <w:pPr>
              <w:spacing w:after="0" w:line="240" w:lineRule="auto"/>
              <w:rPr>
                <w:lang w:eastAsia="en-GB"/>
              </w:rPr>
            </w:pPr>
          </w:p>
        </w:tc>
        <w:tc>
          <w:tcPr>
            <w:tcW w:w="1276" w:type="dxa"/>
            <w:tcBorders>
              <w:top w:val="single" w:sz="4" w:space="0" w:color="3C3C3C"/>
            </w:tcBorders>
            <w:shd w:val="clear" w:color="auto" w:fill="auto"/>
            <w:noWrap/>
            <w:vAlign w:val="bottom"/>
            <w:hideMark/>
          </w:tcPr>
          <w:p w14:paraId="06C6B216" w14:textId="77777777" w:rsidR="007753E7" w:rsidRPr="002B2821" w:rsidRDefault="007753E7" w:rsidP="00F9539E">
            <w:pPr>
              <w:spacing w:after="0" w:line="240" w:lineRule="auto"/>
              <w:rPr>
                <w:lang w:eastAsia="en-GB"/>
              </w:rPr>
            </w:pPr>
          </w:p>
        </w:tc>
        <w:tc>
          <w:tcPr>
            <w:tcW w:w="850" w:type="dxa"/>
            <w:gridSpan w:val="2"/>
            <w:tcBorders>
              <w:top w:val="single" w:sz="4" w:space="0" w:color="3C3C3C"/>
            </w:tcBorders>
            <w:shd w:val="clear" w:color="auto" w:fill="auto"/>
            <w:noWrap/>
            <w:vAlign w:val="bottom"/>
            <w:hideMark/>
          </w:tcPr>
          <w:p w14:paraId="0FAAB875" w14:textId="77777777" w:rsidR="007753E7" w:rsidRPr="002B2821" w:rsidRDefault="007753E7" w:rsidP="00F9539E">
            <w:pPr>
              <w:spacing w:after="0" w:line="240" w:lineRule="auto"/>
              <w:rPr>
                <w:lang w:eastAsia="en-GB"/>
              </w:rPr>
            </w:pPr>
          </w:p>
        </w:tc>
        <w:tc>
          <w:tcPr>
            <w:tcW w:w="1054" w:type="dxa"/>
            <w:tcBorders>
              <w:top w:val="single" w:sz="4" w:space="0" w:color="3C3C3C"/>
            </w:tcBorders>
            <w:shd w:val="clear" w:color="auto" w:fill="auto"/>
            <w:noWrap/>
            <w:vAlign w:val="bottom"/>
            <w:hideMark/>
          </w:tcPr>
          <w:p w14:paraId="23731867" w14:textId="77777777" w:rsidR="007753E7" w:rsidRPr="002B2821" w:rsidRDefault="007753E7" w:rsidP="00F9539E">
            <w:pPr>
              <w:spacing w:after="0" w:line="240" w:lineRule="auto"/>
              <w:rPr>
                <w:lang w:eastAsia="en-GB"/>
              </w:rPr>
            </w:pPr>
          </w:p>
        </w:tc>
        <w:tc>
          <w:tcPr>
            <w:tcW w:w="1214" w:type="dxa"/>
            <w:tcBorders>
              <w:top w:val="single" w:sz="4" w:space="0" w:color="3C3C3C"/>
            </w:tcBorders>
            <w:shd w:val="clear" w:color="auto" w:fill="auto"/>
            <w:noWrap/>
            <w:vAlign w:val="bottom"/>
            <w:hideMark/>
          </w:tcPr>
          <w:p w14:paraId="117BEE3A" w14:textId="77777777" w:rsidR="007753E7" w:rsidRPr="002B2821" w:rsidRDefault="007753E7" w:rsidP="00F9539E">
            <w:pPr>
              <w:spacing w:after="0" w:line="240" w:lineRule="auto"/>
              <w:rPr>
                <w:lang w:eastAsia="en-GB"/>
              </w:rPr>
            </w:pPr>
          </w:p>
        </w:tc>
        <w:tc>
          <w:tcPr>
            <w:tcW w:w="709" w:type="dxa"/>
            <w:tcBorders>
              <w:top w:val="single" w:sz="4" w:space="0" w:color="3C3C3C"/>
            </w:tcBorders>
            <w:shd w:val="clear" w:color="auto" w:fill="auto"/>
            <w:noWrap/>
            <w:vAlign w:val="bottom"/>
            <w:hideMark/>
          </w:tcPr>
          <w:p w14:paraId="5A6EF37F" w14:textId="77777777" w:rsidR="007753E7" w:rsidRPr="002B2821" w:rsidRDefault="007753E7" w:rsidP="00F9539E">
            <w:pPr>
              <w:spacing w:after="0" w:line="240" w:lineRule="auto"/>
              <w:rPr>
                <w:lang w:eastAsia="en-GB"/>
              </w:rPr>
            </w:pPr>
          </w:p>
        </w:tc>
        <w:tc>
          <w:tcPr>
            <w:tcW w:w="1134" w:type="dxa"/>
            <w:tcBorders>
              <w:top w:val="single" w:sz="4" w:space="0" w:color="3C3C3C"/>
            </w:tcBorders>
            <w:shd w:val="clear" w:color="auto" w:fill="auto"/>
            <w:noWrap/>
            <w:vAlign w:val="bottom"/>
            <w:hideMark/>
          </w:tcPr>
          <w:p w14:paraId="6D803377" w14:textId="77777777" w:rsidR="007753E7" w:rsidRPr="002B2821" w:rsidRDefault="007753E7" w:rsidP="00F9539E">
            <w:pPr>
              <w:spacing w:after="0" w:line="240" w:lineRule="auto"/>
              <w:rPr>
                <w:lang w:eastAsia="en-GB"/>
              </w:rPr>
            </w:pPr>
          </w:p>
        </w:tc>
        <w:tc>
          <w:tcPr>
            <w:tcW w:w="993" w:type="dxa"/>
            <w:tcBorders>
              <w:top w:val="single" w:sz="4" w:space="0" w:color="3C3C3C"/>
            </w:tcBorders>
            <w:shd w:val="clear" w:color="auto" w:fill="auto"/>
            <w:noWrap/>
            <w:vAlign w:val="bottom"/>
            <w:hideMark/>
          </w:tcPr>
          <w:p w14:paraId="6A433E62" w14:textId="77777777" w:rsidR="007753E7" w:rsidRPr="002B2821" w:rsidRDefault="007753E7" w:rsidP="00F9539E">
            <w:pPr>
              <w:spacing w:after="0" w:line="240" w:lineRule="auto"/>
              <w:rPr>
                <w:lang w:eastAsia="en-GB"/>
              </w:rPr>
            </w:pPr>
          </w:p>
        </w:tc>
        <w:tc>
          <w:tcPr>
            <w:tcW w:w="850" w:type="dxa"/>
            <w:tcBorders>
              <w:top w:val="single" w:sz="4" w:space="0" w:color="3C3C3C"/>
            </w:tcBorders>
            <w:shd w:val="clear" w:color="auto" w:fill="auto"/>
            <w:noWrap/>
            <w:vAlign w:val="bottom"/>
            <w:hideMark/>
          </w:tcPr>
          <w:p w14:paraId="30BD3402" w14:textId="77777777" w:rsidR="007753E7" w:rsidRPr="002B2821" w:rsidRDefault="007753E7" w:rsidP="00F9539E">
            <w:pPr>
              <w:spacing w:after="0" w:line="240" w:lineRule="auto"/>
              <w:rPr>
                <w:lang w:eastAsia="en-GB"/>
              </w:rPr>
            </w:pPr>
          </w:p>
        </w:tc>
        <w:tc>
          <w:tcPr>
            <w:tcW w:w="851" w:type="dxa"/>
            <w:shd w:val="clear" w:color="auto" w:fill="auto"/>
            <w:noWrap/>
            <w:vAlign w:val="bottom"/>
            <w:hideMark/>
          </w:tcPr>
          <w:p w14:paraId="6580F49C" w14:textId="77777777" w:rsidR="007753E7" w:rsidRPr="002B2821" w:rsidRDefault="007753E7" w:rsidP="00F9539E">
            <w:pPr>
              <w:spacing w:after="0" w:line="240" w:lineRule="auto"/>
              <w:rPr>
                <w:lang w:eastAsia="en-GB"/>
              </w:rPr>
            </w:pPr>
          </w:p>
        </w:tc>
        <w:tc>
          <w:tcPr>
            <w:tcW w:w="238" w:type="dxa"/>
            <w:gridSpan w:val="2"/>
            <w:shd w:val="clear" w:color="auto" w:fill="auto"/>
            <w:noWrap/>
            <w:vAlign w:val="bottom"/>
            <w:hideMark/>
          </w:tcPr>
          <w:p w14:paraId="1F34F43E" w14:textId="77777777" w:rsidR="007753E7" w:rsidRPr="002B2821" w:rsidRDefault="007753E7" w:rsidP="00F9539E">
            <w:pPr>
              <w:spacing w:after="0" w:line="240" w:lineRule="auto"/>
              <w:rPr>
                <w:lang w:eastAsia="en-GB"/>
              </w:rPr>
            </w:pPr>
          </w:p>
        </w:tc>
      </w:tr>
    </w:tbl>
    <w:p w14:paraId="2E75CC75" w14:textId="77777777" w:rsidR="00570414" w:rsidRPr="002B2821" w:rsidRDefault="00570414" w:rsidP="00A54186">
      <w:pPr>
        <w:pStyle w:val="BodyText"/>
        <w:spacing w:after="0" w:line="240" w:lineRule="auto"/>
        <w:rPr>
          <w:rFonts w:asciiTheme="minorHAnsi" w:hAnsiTheme="minorHAnsi" w:cs="Arial"/>
          <w:b/>
          <w:color w:val="442359"/>
          <w:sz w:val="18"/>
          <w:szCs w:val="18"/>
        </w:rPr>
      </w:pPr>
    </w:p>
    <w:p w14:paraId="4F21EF40" w14:textId="7BBB63FD" w:rsidR="008D56B3" w:rsidRPr="002B2821" w:rsidRDefault="008D56B3" w:rsidP="00E540A0">
      <w:pPr>
        <w:pStyle w:val="BodyText"/>
        <w:spacing w:after="18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DD1073"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10F61AD5" w14:textId="51730675" w:rsidR="00E67F26" w:rsidRPr="002B2821" w:rsidRDefault="00E67F26" w:rsidP="00E540A0">
      <w:pPr>
        <w:pStyle w:val="BodyText"/>
        <w:spacing w:after="18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6</w:t>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r>
      <w:r w:rsidRPr="002B2821">
        <w:rPr>
          <w:rFonts w:asciiTheme="minorHAnsi" w:hAnsiTheme="minorHAnsi" w:cs="Arial"/>
          <w:b/>
          <w:color w:val="442359"/>
          <w:sz w:val="24"/>
          <w:szCs w:val="24"/>
        </w:rPr>
        <w:tab/>
        <w:t xml:space="preserve">    Trust costs </w:t>
      </w:r>
      <w:r w:rsidR="001D1D1E">
        <w:rPr>
          <w:rFonts w:asciiTheme="minorHAnsi" w:hAnsiTheme="minorHAnsi" w:cs="Arial"/>
          <w:b/>
          <w:color w:val="442359"/>
          <w:sz w:val="24"/>
          <w:szCs w:val="24"/>
        </w:rPr>
        <w:t xml:space="preserve">and net income </w:t>
      </w:r>
      <w:r>
        <w:rPr>
          <w:rFonts w:asciiTheme="minorHAnsi" w:hAnsiTheme="minorHAnsi" w:cs="Arial"/>
          <w:b/>
          <w:color w:val="442359"/>
          <w:sz w:val="24"/>
          <w:szCs w:val="24"/>
        </w:rPr>
        <w:t>(continued)</w:t>
      </w:r>
    </w:p>
    <w:p w14:paraId="3778156B" w14:textId="14DA8D87" w:rsidR="00E17848" w:rsidRPr="00E67F26" w:rsidRDefault="00E17848" w:rsidP="00B200FC">
      <w:pPr>
        <w:pStyle w:val="BodyText"/>
        <w:spacing w:after="0" w:line="240" w:lineRule="auto"/>
        <w:rPr>
          <w:rFonts w:asciiTheme="minorHAnsi" w:hAnsiTheme="minorHAnsi" w:cs="Arial"/>
          <w:sz w:val="24"/>
          <w:szCs w:val="24"/>
        </w:rPr>
      </w:pPr>
      <w:r w:rsidRPr="00E67F26">
        <w:rPr>
          <w:rFonts w:asciiTheme="minorHAnsi" w:hAnsiTheme="minorHAnsi" w:cs="Arial"/>
          <w:sz w:val="24"/>
          <w:szCs w:val="24"/>
        </w:rPr>
        <w:t>Net income for the year is stated after charging:</w:t>
      </w:r>
    </w:p>
    <w:tbl>
      <w:tblPr>
        <w:tblW w:w="7720" w:type="dxa"/>
        <w:tblLook w:val="04A0" w:firstRow="1" w:lastRow="0" w:firstColumn="1" w:lastColumn="0" w:noHBand="0" w:noVBand="1"/>
      </w:tblPr>
      <w:tblGrid>
        <w:gridCol w:w="1443"/>
        <w:gridCol w:w="1296"/>
        <w:gridCol w:w="1296"/>
        <w:gridCol w:w="747"/>
        <w:gridCol w:w="1275"/>
        <w:gridCol w:w="450"/>
        <w:gridCol w:w="1213"/>
      </w:tblGrid>
      <w:tr w:rsidR="00E17848" w:rsidRPr="00E67F26" w14:paraId="23202DCD" w14:textId="77777777" w:rsidTr="00E17848">
        <w:trPr>
          <w:trHeight w:val="315"/>
        </w:trPr>
        <w:tc>
          <w:tcPr>
            <w:tcW w:w="1400" w:type="dxa"/>
            <w:tcBorders>
              <w:top w:val="nil"/>
              <w:left w:val="nil"/>
              <w:bottom w:val="nil"/>
              <w:right w:val="nil"/>
            </w:tcBorders>
            <w:shd w:val="clear" w:color="auto" w:fill="auto"/>
            <w:noWrap/>
            <w:vAlign w:val="bottom"/>
            <w:hideMark/>
          </w:tcPr>
          <w:p w14:paraId="75C13FBD" w14:textId="77777777" w:rsidR="00E17848" w:rsidRPr="00E67F26" w:rsidRDefault="00E17848" w:rsidP="00E17848">
            <w:pPr>
              <w:spacing w:after="0" w:line="240" w:lineRule="auto"/>
              <w:rPr>
                <w:sz w:val="24"/>
                <w:szCs w:val="24"/>
                <w:lang w:eastAsia="en-GB"/>
              </w:rPr>
            </w:pPr>
          </w:p>
        </w:tc>
        <w:tc>
          <w:tcPr>
            <w:tcW w:w="1256" w:type="dxa"/>
            <w:tcBorders>
              <w:top w:val="nil"/>
              <w:left w:val="nil"/>
              <w:bottom w:val="nil"/>
              <w:right w:val="nil"/>
            </w:tcBorders>
            <w:shd w:val="clear" w:color="auto" w:fill="auto"/>
            <w:noWrap/>
            <w:vAlign w:val="bottom"/>
            <w:hideMark/>
          </w:tcPr>
          <w:p w14:paraId="11B73DA8" w14:textId="77777777" w:rsidR="00E17848" w:rsidRPr="00E67F26" w:rsidRDefault="00E17848" w:rsidP="00E17848">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3DC52395" w14:textId="77777777" w:rsidR="00E17848" w:rsidRPr="00E67F26" w:rsidRDefault="00E17848" w:rsidP="00E17848">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4EF2E4E4" w14:textId="77777777" w:rsidR="00E17848" w:rsidRPr="00E67F26" w:rsidRDefault="00E17848" w:rsidP="00E17848">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743EFE5" w14:textId="77777777" w:rsidR="00E17848" w:rsidRPr="00E67F26" w:rsidRDefault="00E17848" w:rsidP="00E17848">
            <w:pPr>
              <w:spacing w:after="0" w:line="240" w:lineRule="auto"/>
              <w:jc w:val="right"/>
              <w:rPr>
                <w:rFonts w:ascii="Calibri" w:hAnsi="Calibri" w:cs="Arial"/>
                <w:b/>
                <w:bCs/>
                <w:color w:val="333399"/>
                <w:sz w:val="24"/>
                <w:szCs w:val="24"/>
                <w:lang w:eastAsia="en-GB"/>
              </w:rPr>
            </w:pPr>
            <w:r w:rsidRPr="00E67F26">
              <w:rPr>
                <w:rFonts w:ascii="Calibri" w:hAnsi="Calibri" w:cs="Arial"/>
                <w:b/>
                <w:bCs/>
                <w:color w:val="333399"/>
                <w:sz w:val="24"/>
                <w:szCs w:val="24"/>
                <w:lang w:eastAsia="en-GB"/>
              </w:rPr>
              <w:t>2018</w:t>
            </w:r>
          </w:p>
        </w:tc>
        <w:tc>
          <w:tcPr>
            <w:tcW w:w="436" w:type="dxa"/>
            <w:tcBorders>
              <w:top w:val="nil"/>
              <w:left w:val="nil"/>
              <w:bottom w:val="nil"/>
              <w:right w:val="nil"/>
            </w:tcBorders>
            <w:shd w:val="clear" w:color="auto" w:fill="auto"/>
            <w:noWrap/>
            <w:vAlign w:val="bottom"/>
            <w:hideMark/>
          </w:tcPr>
          <w:p w14:paraId="645701B3" w14:textId="77777777" w:rsidR="00E17848" w:rsidRPr="00E67F26" w:rsidRDefault="00E17848" w:rsidP="00E17848">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78E9243D" w14:textId="77777777" w:rsidR="00E17848" w:rsidRPr="00E67F26" w:rsidRDefault="00E17848" w:rsidP="00E17848">
            <w:pPr>
              <w:spacing w:after="0" w:line="240" w:lineRule="auto"/>
              <w:jc w:val="right"/>
              <w:rPr>
                <w:rFonts w:ascii="Calibri" w:hAnsi="Calibri" w:cs="Arial"/>
                <w:color w:val="333399"/>
                <w:sz w:val="24"/>
                <w:szCs w:val="24"/>
                <w:lang w:eastAsia="en-GB"/>
              </w:rPr>
            </w:pPr>
            <w:r w:rsidRPr="00E67F26">
              <w:rPr>
                <w:rFonts w:ascii="Calibri" w:hAnsi="Calibri" w:cs="Arial"/>
                <w:color w:val="333399"/>
                <w:sz w:val="24"/>
                <w:szCs w:val="24"/>
                <w:lang w:eastAsia="en-GB"/>
              </w:rPr>
              <w:t>2017</w:t>
            </w:r>
          </w:p>
        </w:tc>
      </w:tr>
      <w:tr w:rsidR="00E17848" w:rsidRPr="00E67F26" w14:paraId="3B267757" w14:textId="77777777" w:rsidTr="00E17848">
        <w:trPr>
          <w:trHeight w:val="315"/>
        </w:trPr>
        <w:tc>
          <w:tcPr>
            <w:tcW w:w="1400" w:type="dxa"/>
            <w:tcBorders>
              <w:top w:val="nil"/>
              <w:left w:val="nil"/>
              <w:bottom w:val="nil"/>
              <w:right w:val="nil"/>
            </w:tcBorders>
            <w:shd w:val="clear" w:color="auto" w:fill="auto"/>
            <w:noWrap/>
            <w:vAlign w:val="bottom"/>
            <w:hideMark/>
          </w:tcPr>
          <w:p w14:paraId="2489CBD8" w14:textId="77777777" w:rsidR="00E17848" w:rsidRPr="00E67F26" w:rsidRDefault="00E17848" w:rsidP="00E17848">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555DE40D" w14:textId="77777777" w:rsidR="00E17848" w:rsidRPr="00E67F26" w:rsidRDefault="00E17848" w:rsidP="00E17848">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0E02A49C" w14:textId="77777777" w:rsidR="00E17848" w:rsidRPr="00E67F26" w:rsidRDefault="00E17848" w:rsidP="00E17848">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1671BF01" w14:textId="77777777" w:rsidR="00E17848" w:rsidRPr="00E67F26" w:rsidRDefault="00E17848" w:rsidP="00E17848">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4B94409" w14:textId="77777777" w:rsidR="00E17848" w:rsidRPr="00E67F26" w:rsidRDefault="00E17848" w:rsidP="00E17848">
            <w:pPr>
              <w:spacing w:after="0" w:line="240" w:lineRule="auto"/>
              <w:jc w:val="right"/>
              <w:rPr>
                <w:rFonts w:ascii="Calibri" w:hAnsi="Calibri" w:cs="Arial"/>
                <w:b/>
                <w:bCs/>
                <w:color w:val="333399"/>
                <w:sz w:val="24"/>
                <w:szCs w:val="24"/>
                <w:lang w:eastAsia="en-GB"/>
              </w:rPr>
            </w:pPr>
            <w:r w:rsidRPr="00E67F26">
              <w:rPr>
                <w:rFonts w:ascii="Calibri" w:hAnsi="Calibri" w:cs="Arial"/>
                <w:b/>
                <w:bCs/>
                <w:color w:val="333399"/>
                <w:sz w:val="24"/>
                <w:szCs w:val="24"/>
                <w:lang w:eastAsia="en-GB"/>
              </w:rPr>
              <w:t>£000s</w:t>
            </w:r>
          </w:p>
        </w:tc>
        <w:tc>
          <w:tcPr>
            <w:tcW w:w="436" w:type="dxa"/>
            <w:tcBorders>
              <w:top w:val="nil"/>
              <w:left w:val="nil"/>
              <w:bottom w:val="nil"/>
              <w:right w:val="nil"/>
            </w:tcBorders>
            <w:shd w:val="clear" w:color="auto" w:fill="auto"/>
            <w:noWrap/>
            <w:vAlign w:val="bottom"/>
            <w:hideMark/>
          </w:tcPr>
          <w:p w14:paraId="7273C95C" w14:textId="77777777" w:rsidR="00E17848" w:rsidRPr="00E67F26" w:rsidRDefault="00E17848" w:rsidP="00E17848">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5F00C22F" w14:textId="77777777" w:rsidR="00E17848" w:rsidRPr="00E67F26" w:rsidRDefault="00E17848" w:rsidP="00E17848">
            <w:pPr>
              <w:spacing w:after="0" w:line="240" w:lineRule="auto"/>
              <w:jc w:val="right"/>
              <w:rPr>
                <w:rFonts w:ascii="Calibri" w:hAnsi="Calibri" w:cs="Arial"/>
                <w:color w:val="333399"/>
                <w:sz w:val="24"/>
                <w:szCs w:val="24"/>
                <w:lang w:eastAsia="en-GB"/>
              </w:rPr>
            </w:pPr>
            <w:r w:rsidRPr="00E67F26">
              <w:rPr>
                <w:rFonts w:ascii="Calibri" w:hAnsi="Calibri" w:cs="Arial"/>
                <w:color w:val="333399"/>
                <w:sz w:val="24"/>
                <w:szCs w:val="24"/>
                <w:lang w:eastAsia="en-GB"/>
              </w:rPr>
              <w:t>£000s</w:t>
            </w:r>
          </w:p>
        </w:tc>
      </w:tr>
      <w:tr w:rsidR="00E17848" w:rsidRPr="00E67F26" w14:paraId="6A2D164A" w14:textId="77777777" w:rsidTr="00E17848">
        <w:trPr>
          <w:trHeight w:val="315"/>
        </w:trPr>
        <w:tc>
          <w:tcPr>
            <w:tcW w:w="1400" w:type="dxa"/>
            <w:tcBorders>
              <w:top w:val="nil"/>
              <w:left w:val="nil"/>
              <w:bottom w:val="nil"/>
              <w:right w:val="nil"/>
            </w:tcBorders>
            <w:shd w:val="clear" w:color="auto" w:fill="auto"/>
            <w:noWrap/>
            <w:vAlign w:val="bottom"/>
            <w:hideMark/>
          </w:tcPr>
          <w:p w14:paraId="4DBD1E85" w14:textId="77777777" w:rsidR="00E17848" w:rsidRPr="00E67F26" w:rsidRDefault="00E17848" w:rsidP="00E17848">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6B48ACF4" w14:textId="77777777" w:rsidR="00E17848" w:rsidRPr="00E67F26" w:rsidRDefault="00E17848" w:rsidP="00E17848">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5E200845" w14:textId="77777777" w:rsidR="00E17848" w:rsidRPr="00E67F26" w:rsidRDefault="00E17848" w:rsidP="00E17848">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0DEA342F" w14:textId="77777777" w:rsidR="00E17848" w:rsidRPr="00E67F26" w:rsidRDefault="00E17848" w:rsidP="00E17848">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CE09EE0" w14:textId="77777777" w:rsidR="00E17848" w:rsidRPr="00E67F26" w:rsidRDefault="00E17848" w:rsidP="00E17848">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003BF33C" w14:textId="77777777" w:rsidR="00E17848" w:rsidRPr="00E67F26" w:rsidRDefault="00E17848" w:rsidP="00E17848">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16EF0204" w14:textId="77777777" w:rsidR="00E17848" w:rsidRPr="00E67F26" w:rsidRDefault="00E17848" w:rsidP="00E17848">
            <w:pPr>
              <w:spacing w:after="0" w:line="240" w:lineRule="auto"/>
              <w:rPr>
                <w:lang w:eastAsia="en-GB"/>
              </w:rPr>
            </w:pPr>
          </w:p>
        </w:tc>
      </w:tr>
      <w:tr w:rsidR="00E17848" w:rsidRPr="00E67F26" w14:paraId="2D5EC84E" w14:textId="77777777" w:rsidTr="00E17848">
        <w:trPr>
          <w:trHeight w:val="315"/>
        </w:trPr>
        <w:tc>
          <w:tcPr>
            <w:tcW w:w="3912" w:type="dxa"/>
            <w:gridSpan w:val="3"/>
            <w:tcBorders>
              <w:top w:val="nil"/>
              <w:left w:val="nil"/>
              <w:bottom w:val="nil"/>
              <w:right w:val="nil"/>
            </w:tcBorders>
            <w:shd w:val="clear" w:color="auto" w:fill="auto"/>
            <w:noWrap/>
            <w:vAlign w:val="bottom"/>
            <w:hideMark/>
          </w:tcPr>
          <w:p w14:paraId="5EBCFDFD" w14:textId="59E7AAB7" w:rsidR="00E17848" w:rsidRPr="00E67F26" w:rsidRDefault="00E17848" w:rsidP="00E17848">
            <w:pPr>
              <w:spacing w:after="0" w:line="240" w:lineRule="auto"/>
              <w:rPr>
                <w:rFonts w:ascii="Calibri" w:hAnsi="Calibri" w:cs="Arial"/>
                <w:color w:val="000000"/>
                <w:sz w:val="24"/>
                <w:szCs w:val="24"/>
                <w:lang w:eastAsia="en-GB"/>
              </w:rPr>
            </w:pPr>
            <w:r w:rsidRPr="00E67F26">
              <w:rPr>
                <w:rFonts w:ascii="Calibri" w:hAnsi="Calibri" w:cs="Arial"/>
                <w:color w:val="000000"/>
                <w:sz w:val="24"/>
                <w:szCs w:val="24"/>
                <w:lang w:eastAsia="en-GB"/>
              </w:rPr>
              <w:t>Depreciation and loss on disposals</w:t>
            </w:r>
          </w:p>
        </w:tc>
        <w:tc>
          <w:tcPr>
            <w:tcW w:w="724" w:type="dxa"/>
            <w:tcBorders>
              <w:top w:val="nil"/>
              <w:left w:val="nil"/>
              <w:bottom w:val="nil"/>
              <w:right w:val="nil"/>
            </w:tcBorders>
            <w:shd w:val="clear" w:color="auto" w:fill="auto"/>
            <w:noWrap/>
            <w:vAlign w:val="bottom"/>
            <w:hideMark/>
          </w:tcPr>
          <w:p w14:paraId="1368AE8D" w14:textId="77777777" w:rsidR="00E17848" w:rsidRPr="00E67F26" w:rsidRDefault="00E17848" w:rsidP="00E17848">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31FD1052" w14:textId="18167884" w:rsidR="00E17848" w:rsidRPr="00E67F26" w:rsidRDefault="00E17848" w:rsidP="00E17848">
            <w:pPr>
              <w:spacing w:after="0" w:line="240" w:lineRule="auto"/>
              <w:jc w:val="right"/>
              <w:rPr>
                <w:rFonts w:ascii="Calibri" w:hAnsi="Calibri" w:cs="Arial"/>
                <w:b/>
                <w:bCs/>
                <w:color w:val="000000"/>
                <w:sz w:val="24"/>
                <w:szCs w:val="24"/>
                <w:lang w:eastAsia="en-GB"/>
              </w:rPr>
            </w:pPr>
            <w:r w:rsidRPr="00E67F26">
              <w:rPr>
                <w:rFonts w:ascii="Calibri" w:hAnsi="Calibri" w:cs="Arial"/>
                <w:b/>
                <w:bCs/>
                <w:color w:val="000000"/>
                <w:sz w:val="24"/>
                <w:szCs w:val="24"/>
                <w:lang w:eastAsia="en-GB"/>
              </w:rPr>
              <w:t>26</w:t>
            </w:r>
          </w:p>
        </w:tc>
        <w:tc>
          <w:tcPr>
            <w:tcW w:w="436" w:type="dxa"/>
            <w:tcBorders>
              <w:top w:val="nil"/>
              <w:left w:val="nil"/>
              <w:bottom w:val="nil"/>
              <w:right w:val="nil"/>
            </w:tcBorders>
            <w:shd w:val="clear" w:color="auto" w:fill="auto"/>
            <w:noWrap/>
            <w:vAlign w:val="bottom"/>
            <w:hideMark/>
          </w:tcPr>
          <w:p w14:paraId="5467DD00" w14:textId="77777777" w:rsidR="00E17848" w:rsidRPr="00E67F26" w:rsidRDefault="00E17848" w:rsidP="00E17848">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tcPr>
          <w:p w14:paraId="2F962038" w14:textId="72FF86DA" w:rsidR="00E17848" w:rsidRPr="00E67F26" w:rsidRDefault="002A6B58" w:rsidP="002A6B58">
            <w:pPr>
              <w:spacing w:after="0" w:line="240" w:lineRule="auto"/>
              <w:jc w:val="right"/>
              <w:rPr>
                <w:rFonts w:ascii="Calibri" w:hAnsi="Calibri" w:cs="Arial"/>
                <w:color w:val="000000"/>
                <w:sz w:val="24"/>
                <w:szCs w:val="24"/>
                <w:lang w:eastAsia="en-GB"/>
              </w:rPr>
            </w:pPr>
            <w:r w:rsidRPr="00E67F26">
              <w:rPr>
                <w:rFonts w:ascii="Calibri" w:hAnsi="Calibri" w:cs="Arial"/>
                <w:color w:val="000000"/>
                <w:sz w:val="24"/>
                <w:szCs w:val="24"/>
                <w:lang w:eastAsia="en-GB"/>
              </w:rPr>
              <w:t>22</w:t>
            </w:r>
          </w:p>
        </w:tc>
      </w:tr>
      <w:tr w:rsidR="00E17848" w:rsidRPr="002B2821" w14:paraId="67A7D9D5" w14:textId="77777777" w:rsidTr="00E17848">
        <w:trPr>
          <w:trHeight w:val="315"/>
        </w:trPr>
        <w:tc>
          <w:tcPr>
            <w:tcW w:w="4636" w:type="dxa"/>
            <w:gridSpan w:val="4"/>
            <w:tcBorders>
              <w:top w:val="nil"/>
              <w:left w:val="nil"/>
              <w:bottom w:val="nil"/>
              <w:right w:val="nil"/>
            </w:tcBorders>
            <w:shd w:val="clear" w:color="auto" w:fill="auto"/>
            <w:noWrap/>
            <w:vAlign w:val="bottom"/>
            <w:hideMark/>
          </w:tcPr>
          <w:p w14:paraId="28372883" w14:textId="66B9B929" w:rsidR="00E17848" w:rsidRPr="00E67F26" w:rsidRDefault="00E17848" w:rsidP="00E17848">
            <w:pPr>
              <w:spacing w:after="0" w:line="240" w:lineRule="auto"/>
              <w:rPr>
                <w:rFonts w:ascii="Calibri" w:hAnsi="Calibri" w:cs="Arial"/>
                <w:color w:val="000000"/>
                <w:sz w:val="24"/>
                <w:szCs w:val="24"/>
                <w:lang w:eastAsia="en-GB"/>
              </w:rPr>
            </w:pPr>
            <w:r w:rsidRPr="00E67F26">
              <w:rPr>
                <w:rFonts w:ascii="Calibri" w:hAnsi="Calibri" w:cs="Arial"/>
                <w:color w:val="000000"/>
                <w:sz w:val="24"/>
                <w:szCs w:val="24"/>
                <w:lang w:eastAsia="en-GB"/>
              </w:rPr>
              <w:t>Audit Fees</w:t>
            </w:r>
          </w:p>
        </w:tc>
        <w:tc>
          <w:tcPr>
            <w:tcW w:w="1236" w:type="dxa"/>
            <w:tcBorders>
              <w:top w:val="nil"/>
              <w:left w:val="nil"/>
              <w:bottom w:val="nil"/>
              <w:right w:val="nil"/>
            </w:tcBorders>
            <w:shd w:val="clear" w:color="auto" w:fill="auto"/>
            <w:noWrap/>
            <w:vAlign w:val="bottom"/>
            <w:hideMark/>
          </w:tcPr>
          <w:p w14:paraId="6719EAB3" w14:textId="7F41DFD6" w:rsidR="00E17848" w:rsidRPr="00E67F26" w:rsidRDefault="009639C4" w:rsidP="004A1ED8">
            <w:pPr>
              <w:spacing w:after="0" w:line="240" w:lineRule="auto"/>
              <w:jc w:val="right"/>
              <w:rPr>
                <w:rFonts w:ascii="Calibri" w:hAnsi="Calibri" w:cs="Arial"/>
                <w:b/>
                <w:bCs/>
                <w:color w:val="000000"/>
                <w:sz w:val="24"/>
                <w:szCs w:val="24"/>
                <w:lang w:eastAsia="en-GB"/>
              </w:rPr>
            </w:pPr>
            <w:r>
              <w:rPr>
                <w:rFonts w:ascii="Calibri" w:hAnsi="Calibri" w:cs="Arial"/>
                <w:b/>
                <w:bCs/>
                <w:color w:val="000000"/>
                <w:sz w:val="24"/>
                <w:szCs w:val="24"/>
                <w:lang w:eastAsia="en-GB"/>
              </w:rPr>
              <w:t>32</w:t>
            </w:r>
          </w:p>
        </w:tc>
        <w:tc>
          <w:tcPr>
            <w:tcW w:w="436" w:type="dxa"/>
            <w:tcBorders>
              <w:top w:val="nil"/>
              <w:left w:val="nil"/>
              <w:bottom w:val="nil"/>
              <w:right w:val="nil"/>
            </w:tcBorders>
            <w:shd w:val="clear" w:color="auto" w:fill="auto"/>
            <w:noWrap/>
            <w:vAlign w:val="bottom"/>
            <w:hideMark/>
          </w:tcPr>
          <w:p w14:paraId="684DCF4F" w14:textId="77777777" w:rsidR="00E17848" w:rsidRPr="00E67F26" w:rsidRDefault="00E17848" w:rsidP="00E17848">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tcPr>
          <w:p w14:paraId="0C16F453" w14:textId="54256991" w:rsidR="00E17848" w:rsidRPr="002B2821" w:rsidRDefault="00E17848" w:rsidP="00E17848">
            <w:pPr>
              <w:spacing w:after="0" w:line="240" w:lineRule="auto"/>
              <w:jc w:val="right"/>
              <w:rPr>
                <w:rFonts w:ascii="Calibri" w:hAnsi="Calibri" w:cs="Arial"/>
                <w:color w:val="000000"/>
                <w:sz w:val="24"/>
                <w:szCs w:val="24"/>
                <w:lang w:eastAsia="en-GB"/>
              </w:rPr>
            </w:pPr>
            <w:r w:rsidRPr="00E67F26">
              <w:rPr>
                <w:rFonts w:ascii="Calibri" w:hAnsi="Calibri" w:cs="Arial"/>
                <w:color w:val="000000"/>
                <w:sz w:val="24"/>
                <w:szCs w:val="24"/>
                <w:lang w:eastAsia="en-GB"/>
              </w:rPr>
              <w:t>27</w:t>
            </w:r>
          </w:p>
        </w:tc>
      </w:tr>
    </w:tbl>
    <w:p w14:paraId="7AA1F579" w14:textId="77777777" w:rsidR="00E17848" w:rsidRPr="002B2821" w:rsidRDefault="00E17848" w:rsidP="00B200FC">
      <w:pPr>
        <w:pStyle w:val="BodyText"/>
        <w:spacing w:after="0" w:line="240" w:lineRule="auto"/>
        <w:rPr>
          <w:rFonts w:asciiTheme="minorHAnsi" w:hAnsiTheme="minorHAnsi" w:cs="Arial"/>
          <w:b/>
          <w:color w:val="442359"/>
          <w:sz w:val="24"/>
          <w:szCs w:val="24"/>
        </w:rPr>
      </w:pPr>
    </w:p>
    <w:p w14:paraId="47799380" w14:textId="77777777" w:rsidR="00B200FC" w:rsidRPr="002B2821" w:rsidRDefault="00B200FC" w:rsidP="00E540A0">
      <w:pPr>
        <w:pStyle w:val="BodyText"/>
        <w:spacing w:after="18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7    Trustee and employee information</w:t>
      </w:r>
    </w:p>
    <w:p w14:paraId="45387F25" w14:textId="2234D304" w:rsidR="00B200FC" w:rsidRPr="002B2821" w:rsidRDefault="00B200FC" w:rsidP="00E540A0">
      <w:pPr>
        <w:tabs>
          <w:tab w:val="left" w:pos="0"/>
          <w:tab w:val="left" w:pos="680"/>
          <w:tab w:val="decimal" w:pos="5707"/>
          <w:tab w:val="decimal" w:pos="7369"/>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 xml:space="preserve">The monthly average number of persons employed by the Trust during the </w:t>
      </w:r>
      <w:r w:rsidR="00116304" w:rsidRPr="002B2821">
        <w:rPr>
          <w:rFonts w:asciiTheme="minorHAnsi" w:hAnsiTheme="minorHAnsi" w:cs="Arial"/>
          <w:spacing w:val="-3"/>
          <w:kern w:val="2"/>
          <w:sz w:val="24"/>
          <w:szCs w:val="24"/>
        </w:rPr>
        <w:t>year</w:t>
      </w:r>
      <w:r w:rsidRPr="002B2821">
        <w:rPr>
          <w:rFonts w:asciiTheme="minorHAnsi" w:hAnsiTheme="minorHAnsi" w:cs="Arial"/>
          <w:spacing w:val="-3"/>
          <w:kern w:val="2"/>
          <w:sz w:val="24"/>
          <w:szCs w:val="24"/>
        </w:rPr>
        <w:t xml:space="preserve"> was </w:t>
      </w:r>
      <w:r w:rsidR="00497D86" w:rsidRPr="002B2821">
        <w:rPr>
          <w:rFonts w:asciiTheme="minorHAnsi" w:hAnsiTheme="minorHAnsi" w:cs="Arial"/>
          <w:spacing w:val="-3"/>
          <w:kern w:val="2"/>
          <w:sz w:val="24"/>
          <w:szCs w:val="24"/>
        </w:rPr>
        <w:t>1</w:t>
      </w:r>
      <w:r w:rsidR="00DD1073" w:rsidRPr="002B2821">
        <w:rPr>
          <w:rFonts w:asciiTheme="minorHAnsi" w:hAnsiTheme="minorHAnsi" w:cs="Arial"/>
          <w:spacing w:val="-3"/>
          <w:kern w:val="2"/>
          <w:sz w:val="24"/>
          <w:szCs w:val="24"/>
        </w:rPr>
        <w:t>4</w:t>
      </w:r>
      <w:r w:rsidRPr="002B2821">
        <w:rPr>
          <w:rFonts w:asciiTheme="minorHAnsi" w:hAnsiTheme="minorHAnsi" w:cs="Arial"/>
          <w:spacing w:val="-3"/>
          <w:kern w:val="2"/>
          <w:sz w:val="24"/>
          <w:szCs w:val="24"/>
        </w:rPr>
        <w:t xml:space="preserve"> (201</w:t>
      </w:r>
      <w:r w:rsidR="00DD1073" w:rsidRPr="002B2821">
        <w:rPr>
          <w:rFonts w:asciiTheme="minorHAnsi" w:hAnsiTheme="minorHAnsi" w:cs="Arial"/>
          <w:spacing w:val="-3"/>
          <w:kern w:val="2"/>
          <w:sz w:val="24"/>
          <w:szCs w:val="24"/>
        </w:rPr>
        <w:t>7</w:t>
      </w:r>
      <w:r w:rsidRPr="002B2821">
        <w:rPr>
          <w:rFonts w:asciiTheme="minorHAnsi" w:hAnsiTheme="minorHAnsi" w:cs="Arial"/>
          <w:spacing w:val="-3"/>
          <w:kern w:val="2"/>
          <w:sz w:val="24"/>
          <w:szCs w:val="24"/>
        </w:rPr>
        <w:t>:</w:t>
      </w:r>
      <w:r w:rsidR="000E1077">
        <w:rPr>
          <w:rFonts w:asciiTheme="minorHAnsi" w:hAnsiTheme="minorHAnsi" w:cs="Arial"/>
          <w:spacing w:val="-3"/>
          <w:kern w:val="2"/>
          <w:sz w:val="24"/>
          <w:szCs w:val="24"/>
        </w:rPr>
        <w:t xml:space="preserve"> </w:t>
      </w:r>
      <w:r w:rsidR="001B221C" w:rsidRPr="002B2821">
        <w:rPr>
          <w:rFonts w:asciiTheme="minorHAnsi" w:hAnsiTheme="minorHAnsi" w:cs="Arial"/>
          <w:spacing w:val="-3"/>
          <w:kern w:val="2"/>
          <w:sz w:val="24"/>
          <w:szCs w:val="24"/>
        </w:rPr>
        <w:t>1</w:t>
      </w:r>
      <w:r w:rsidR="00DD1073" w:rsidRPr="002B2821">
        <w:rPr>
          <w:rFonts w:asciiTheme="minorHAnsi" w:hAnsiTheme="minorHAnsi" w:cs="Arial"/>
          <w:spacing w:val="-3"/>
          <w:kern w:val="2"/>
          <w:sz w:val="24"/>
          <w:szCs w:val="24"/>
        </w:rPr>
        <w:t>2</w:t>
      </w:r>
      <w:r w:rsidR="000A72B3" w:rsidRPr="002B2821">
        <w:rPr>
          <w:rFonts w:asciiTheme="minorHAnsi" w:hAnsiTheme="minorHAnsi" w:cs="Arial"/>
          <w:spacing w:val="-3"/>
          <w:kern w:val="2"/>
          <w:sz w:val="24"/>
          <w:szCs w:val="24"/>
        </w:rPr>
        <w:t>).</w:t>
      </w:r>
    </w:p>
    <w:tbl>
      <w:tblPr>
        <w:tblW w:w="0" w:type="auto"/>
        <w:tblInd w:w="108" w:type="dxa"/>
        <w:tblLayout w:type="fixed"/>
        <w:tblLook w:val="0000" w:firstRow="0" w:lastRow="0" w:firstColumn="0" w:lastColumn="0" w:noHBand="0" w:noVBand="0"/>
      </w:tblPr>
      <w:tblGrid>
        <w:gridCol w:w="6464"/>
        <w:gridCol w:w="1049"/>
        <w:gridCol w:w="1247"/>
      </w:tblGrid>
      <w:tr w:rsidR="00B200FC" w:rsidRPr="002B2821" w14:paraId="2ADB823F" w14:textId="77777777" w:rsidTr="00464A3B">
        <w:trPr>
          <w:trHeight w:hRule="exact" w:val="641"/>
          <w:tblHeader/>
        </w:trPr>
        <w:tc>
          <w:tcPr>
            <w:tcW w:w="6464" w:type="dxa"/>
          </w:tcPr>
          <w:p w14:paraId="7E4D0805" w14:textId="77777777" w:rsidR="00B200FC" w:rsidRPr="002B2821" w:rsidRDefault="00B200FC" w:rsidP="00464A3B">
            <w:pPr>
              <w:pStyle w:val="TableText"/>
              <w:spacing w:before="0" w:after="0" w:line="240" w:lineRule="auto"/>
              <w:ind w:hanging="108"/>
              <w:rPr>
                <w:rFonts w:asciiTheme="minorHAnsi" w:hAnsiTheme="minorHAnsi" w:cs="Arial"/>
                <w:b/>
                <w:color w:val="442359"/>
                <w:sz w:val="24"/>
                <w:szCs w:val="24"/>
              </w:rPr>
            </w:pPr>
            <w:r w:rsidRPr="002B2821">
              <w:rPr>
                <w:rFonts w:asciiTheme="minorHAnsi" w:hAnsiTheme="minorHAnsi" w:cs="Arial"/>
                <w:b/>
                <w:color w:val="442359"/>
                <w:kern w:val="2"/>
                <w:sz w:val="24"/>
                <w:szCs w:val="24"/>
              </w:rPr>
              <w:t>Staff costs (for the above persons)</w:t>
            </w:r>
          </w:p>
        </w:tc>
        <w:tc>
          <w:tcPr>
            <w:tcW w:w="1049" w:type="dxa"/>
          </w:tcPr>
          <w:p w14:paraId="6C39A3E5" w14:textId="37C36135" w:rsidR="00B200FC" w:rsidRPr="002B2821" w:rsidRDefault="00B200FC" w:rsidP="00464A3B">
            <w:pPr>
              <w:pStyle w:val="TableColumnHeader"/>
              <w:tabs>
                <w:tab w:val="decimal" w:pos="1031"/>
              </w:tabs>
              <w:spacing w:before="0"/>
              <w:rPr>
                <w:rFonts w:asciiTheme="minorHAnsi" w:hAnsiTheme="minorHAnsi" w:cs="Arial"/>
                <w:color w:val="442359"/>
                <w:sz w:val="24"/>
                <w:szCs w:val="24"/>
              </w:rPr>
            </w:pPr>
            <w:r w:rsidRPr="002B2821">
              <w:rPr>
                <w:rFonts w:asciiTheme="minorHAnsi" w:hAnsiTheme="minorHAnsi" w:cs="Arial"/>
                <w:color w:val="442359"/>
                <w:sz w:val="24"/>
                <w:szCs w:val="24"/>
              </w:rPr>
              <w:t>201</w:t>
            </w:r>
            <w:r w:rsidR="00DD1073" w:rsidRPr="002B2821">
              <w:rPr>
                <w:rFonts w:asciiTheme="minorHAnsi" w:hAnsiTheme="minorHAnsi" w:cs="Arial"/>
                <w:color w:val="442359"/>
                <w:sz w:val="24"/>
                <w:szCs w:val="24"/>
              </w:rPr>
              <w:t>8</w:t>
            </w:r>
          </w:p>
          <w:p w14:paraId="7A518099" w14:textId="77777777" w:rsidR="00B200FC" w:rsidRPr="002B2821" w:rsidRDefault="00B200FC" w:rsidP="00464A3B">
            <w:pPr>
              <w:pStyle w:val="TableColumnHeader"/>
              <w:tabs>
                <w:tab w:val="decimal" w:pos="1031"/>
              </w:tabs>
              <w:spacing w:before="0"/>
              <w:jc w:val="center"/>
              <w:rPr>
                <w:rFonts w:asciiTheme="minorHAnsi" w:hAnsiTheme="minorHAnsi" w:cs="Arial"/>
                <w:color w:val="442359"/>
                <w:sz w:val="24"/>
                <w:szCs w:val="24"/>
              </w:rPr>
            </w:pPr>
            <w:r w:rsidRPr="002B2821">
              <w:rPr>
                <w:rFonts w:asciiTheme="minorHAnsi" w:hAnsiTheme="minorHAnsi" w:cs="Arial"/>
                <w:color w:val="442359"/>
                <w:sz w:val="24"/>
                <w:szCs w:val="24"/>
              </w:rPr>
              <w:t>£000s</w:t>
            </w:r>
          </w:p>
        </w:tc>
        <w:tc>
          <w:tcPr>
            <w:tcW w:w="1247" w:type="dxa"/>
          </w:tcPr>
          <w:p w14:paraId="23BF69E4" w14:textId="68FB6D59" w:rsidR="00B200FC" w:rsidRPr="002B2821" w:rsidRDefault="00B200FC" w:rsidP="00464A3B">
            <w:pPr>
              <w:pStyle w:val="TableColumnHeader"/>
              <w:tabs>
                <w:tab w:val="decimal" w:pos="970"/>
              </w:tabs>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201</w:t>
            </w:r>
            <w:r w:rsidR="00DD1073" w:rsidRPr="002B2821">
              <w:rPr>
                <w:rFonts w:asciiTheme="minorHAnsi" w:hAnsiTheme="minorHAnsi" w:cs="Arial"/>
                <w:b w:val="0"/>
                <w:color w:val="442359"/>
                <w:sz w:val="24"/>
                <w:szCs w:val="24"/>
              </w:rPr>
              <w:t>7</w:t>
            </w:r>
          </w:p>
          <w:p w14:paraId="014E107F" w14:textId="77777777" w:rsidR="00B200FC" w:rsidRPr="002B2821" w:rsidRDefault="00B200FC" w:rsidP="00464A3B">
            <w:pPr>
              <w:pStyle w:val="TableColumnHeader"/>
              <w:tabs>
                <w:tab w:val="decimal" w:pos="970"/>
              </w:tabs>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£000s</w:t>
            </w:r>
          </w:p>
        </w:tc>
      </w:tr>
      <w:tr w:rsidR="001B221C" w:rsidRPr="002B2821" w14:paraId="4F8B5A2E" w14:textId="77777777" w:rsidTr="00464A3B">
        <w:trPr>
          <w:trHeight w:hRule="exact" w:val="322"/>
        </w:trPr>
        <w:tc>
          <w:tcPr>
            <w:tcW w:w="6464" w:type="dxa"/>
            <w:vAlign w:val="center"/>
          </w:tcPr>
          <w:p w14:paraId="422087E0" w14:textId="77777777" w:rsidR="001B221C" w:rsidRPr="002B2821" w:rsidRDefault="001B221C" w:rsidP="001B221C">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Gross salaries and wages</w:t>
            </w:r>
          </w:p>
        </w:tc>
        <w:tc>
          <w:tcPr>
            <w:tcW w:w="1049" w:type="dxa"/>
            <w:vAlign w:val="center"/>
          </w:tcPr>
          <w:p w14:paraId="75096B4F" w14:textId="7F1B8F73" w:rsidR="001B221C" w:rsidRPr="002B2821" w:rsidRDefault="00DD1073" w:rsidP="00DD1073">
            <w:pPr>
              <w:pStyle w:val="TableFigure"/>
              <w:tabs>
                <w:tab w:val="clear" w:pos="851"/>
                <w:tab w:val="decimal" w:pos="1031"/>
                <w:tab w:val="decimal" w:pos="1083"/>
              </w:tabs>
              <w:spacing w:before="0"/>
              <w:jc w:val="right"/>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561</w:t>
            </w:r>
          </w:p>
        </w:tc>
        <w:tc>
          <w:tcPr>
            <w:tcW w:w="1247" w:type="dxa"/>
            <w:vAlign w:val="center"/>
          </w:tcPr>
          <w:p w14:paraId="0566B070" w14:textId="21BEBDFF" w:rsidR="001B221C" w:rsidRPr="002B2821" w:rsidRDefault="001B221C" w:rsidP="00DD1073">
            <w:pPr>
              <w:pStyle w:val="TableFigure"/>
              <w:tabs>
                <w:tab w:val="decimal" w:pos="1031"/>
              </w:tabs>
              <w:spacing w:before="0"/>
              <w:jc w:val="right"/>
              <w:rPr>
                <w:rFonts w:asciiTheme="minorHAnsi" w:hAnsiTheme="minorHAnsi" w:cs="Arial"/>
                <w:b w:val="0"/>
                <w:sz w:val="24"/>
                <w:szCs w:val="24"/>
              </w:rPr>
            </w:pPr>
            <w:r w:rsidRPr="002B2821">
              <w:rPr>
                <w:rFonts w:asciiTheme="minorHAnsi" w:hAnsiTheme="minorHAnsi" w:cs="Arial"/>
                <w:b w:val="0"/>
                <w:sz w:val="24"/>
                <w:szCs w:val="24"/>
              </w:rPr>
              <w:t>4</w:t>
            </w:r>
            <w:r w:rsidR="00DD1073" w:rsidRPr="002B2821">
              <w:rPr>
                <w:rFonts w:asciiTheme="minorHAnsi" w:hAnsiTheme="minorHAnsi" w:cs="Arial"/>
                <w:b w:val="0"/>
                <w:sz w:val="24"/>
                <w:szCs w:val="24"/>
              </w:rPr>
              <w:t>75</w:t>
            </w:r>
          </w:p>
        </w:tc>
      </w:tr>
      <w:tr w:rsidR="001B221C" w:rsidRPr="002B2821" w14:paraId="7D229A6D" w14:textId="77777777" w:rsidTr="006F704C">
        <w:trPr>
          <w:trHeight w:hRule="exact" w:val="400"/>
        </w:trPr>
        <w:tc>
          <w:tcPr>
            <w:tcW w:w="6464" w:type="dxa"/>
            <w:vAlign w:val="center"/>
          </w:tcPr>
          <w:p w14:paraId="300F77F8" w14:textId="77777777" w:rsidR="001B221C" w:rsidRPr="002B2821" w:rsidRDefault="001B221C" w:rsidP="001B221C">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Social security costs</w:t>
            </w:r>
          </w:p>
        </w:tc>
        <w:tc>
          <w:tcPr>
            <w:tcW w:w="1049" w:type="dxa"/>
            <w:vAlign w:val="center"/>
          </w:tcPr>
          <w:p w14:paraId="5C7A3617" w14:textId="47B32A1A" w:rsidR="001B221C" w:rsidRPr="002B2821" w:rsidRDefault="00DD1073" w:rsidP="00DD1073">
            <w:pPr>
              <w:pStyle w:val="TableFigure"/>
              <w:tabs>
                <w:tab w:val="decimal" w:pos="1031"/>
              </w:tabs>
              <w:spacing w:before="0"/>
              <w:jc w:val="right"/>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6</w:t>
            </w:r>
            <w:r w:rsidR="006531F8" w:rsidRPr="002B2821">
              <w:rPr>
                <w:rFonts w:asciiTheme="minorHAnsi" w:hAnsiTheme="minorHAnsi" w:cs="Arial"/>
                <w:color w:val="000000" w:themeColor="text1"/>
                <w:sz w:val="24"/>
                <w:szCs w:val="24"/>
              </w:rPr>
              <w:t>2</w:t>
            </w:r>
          </w:p>
        </w:tc>
        <w:tc>
          <w:tcPr>
            <w:tcW w:w="1247" w:type="dxa"/>
            <w:vAlign w:val="center"/>
          </w:tcPr>
          <w:p w14:paraId="5779F7C1" w14:textId="45AFEBE9" w:rsidR="001B221C" w:rsidRPr="002B2821" w:rsidRDefault="00DD1073" w:rsidP="001B221C">
            <w:pPr>
              <w:pStyle w:val="TableFigure"/>
              <w:tabs>
                <w:tab w:val="decimal" w:pos="1031"/>
              </w:tabs>
              <w:spacing w:before="0"/>
              <w:jc w:val="right"/>
              <w:rPr>
                <w:rFonts w:asciiTheme="minorHAnsi" w:hAnsiTheme="minorHAnsi" w:cs="Arial"/>
                <w:b w:val="0"/>
                <w:sz w:val="24"/>
                <w:szCs w:val="24"/>
              </w:rPr>
            </w:pPr>
            <w:r w:rsidRPr="002B2821">
              <w:rPr>
                <w:rFonts w:asciiTheme="minorHAnsi" w:hAnsiTheme="minorHAnsi" w:cs="Arial"/>
                <w:b w:val="0"/>
                <w:sz w:val="24"/>
                <w:szCs w:val="24"/>
              </w:rPr>
              <w:t>52</w:t>
            </w:r>
          </w:p>
        </w:tc>
      </w:tr>
      <w:tr w:rsidR="001B221C" w:rsidRPr="002B2821" w14:paraId="4E0C9F4A" w14:textId="77777777" w:rsidTr="006F704C">
        <w:trPr>
          <w:trHeight w:hRule="exact" w:val="400"/>
        </w:trPr>
        <w:tc>
          <w:tcPr>
            <w:tcW w:w="6464" w:type="dxa"/>
            <w:vAlign w:val="center"/>
          </w:tcPr>
          <w:p w14:paraId="338B3658" w14:textId="77777777" w:rsidR="001B221C" w:rsidRPr="002B2821" w:rsidRDefault="001B221C" w:rsidP="001B221C">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Employer pension contributions</w:t>
            </w:r>
          </w:p>
        </w:tc>
        <w:tc>
          <w:tcPr>
            <w:tcW w:w="1049" w:type="dxa"/>
            <w:vAlign w:val="center"/>
          </w:tcPr>
          <w:p w14:paraId="7EB0936C" w14:textId="08B75010" w:rsidR="001B221C" w:rsidRPr="002B2821" w:rsidRDefault="00DD1073" w:rsidP="00DD1073">
            <w:pPr>
              <w:pStyle w:val="TableFigure"/>
              <w:tabs>
                <w:tab w:val="decimal" w:pos="1031"/>
              </w:tabs>
              <w:spacing w:before="0"/>
              <w:jc w:val="right"/>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57</w:t>
            </w:r>
          </w:p>
        </w:tc>
        <w:tc>
          <w:tcPr>
            <w:tcW w:w="1247" w:type="dxa"/>
            <w:vAlign w:val="center"/>
          </w:tcPr>
          <w:p w14:paraId="5714A50C" w14:textId="7CE897F8" w:rsidR="001B221C" w:rsidRPr="002B2821" w:rsidRDefault="001B221C" w:rsidP="00DD1073">
            <w:pPr>
              <w:pStyle w:val="TableFigure"/>
              <w:tabs>
                <w:tab w:val="decimal" w:pos="1031"/>
              </w:tabs>
              <w:spacing w:before="0"/>
              <w:jc w:val="right"/>
              <w:rPr>
                <w:rFonts w:asciiTheme="minorHAnsi" w:hAnsiTheme="minorHAnsi" w:cs="Arial"/>
                <w:b w:val="0"/>
                <w:sz w:val="24"/>
                <w:szCs w:val="24"/>
              </w:rPr>
            </w:pPr>
            <w:r w:rsidRPr="002B2821">
              <w:rPr>
                <w:rFonts w:asciiTheme="minorHAnsi" w:hAnsiTheme="minorHAnsi" w:cs="Arial"/>
                <w:b w:val="0"/>
                <w:sz w:val="24"/>
                <w:szCs w:val="24"/>
              </w:rPr>
              <w:t>4</w:t>
            </w:r>
            <w:r w:rsidR="00DD1073" w:rsidRPr="002B2821">
              <w:rPr>
                <w:rFonts w:asciiTheme="minorHAnsi" w:hAnsiTheme="minorHAnsi" w:cs="Arial"/>
                <w:b w:val="0"/>
                <w:sz w:val="24"/>
                <w:szCs w:val="24"/>
              </w:rPr>
              <w:t>7</w:t>
            </w:r>
          </w:p>
        </w:tc>
      </w:tr>
      <w:tr w:rsidR="001B221C" w:rsidRPr="002B2821" w14:paraId="7D2C202F" w14:textId="77777777" w:rsidTr="006F704C">
        <w:trPr>
          <w:trHeight w:hRule="exact" w:val="400"/>
        </w:trPr>
        <w:tc>
          <w:tcPr>
            <w:tcW w:w="6464" w:type="dxa"/>
            <w:vAlign w:val="center"/>
          </w:tcPr>
          <w:p w14:paraId="5547C33B" w14:textId="77777777" w:rsidR="001B221C" w:rsidRPr="002B2821" w:rsidRDefault="001B221C" w:rsidP="001B221C">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Other employee benefits</w:t>
            </w:r>
          </w:p>
        </w:tc>
        <w:tc>
          <w:tcPr>
            <w:tcW w:w="1049" w:type="dxa"/>
            <w:tcBorders>
              <w:bottom w:val="single" w:sz="4" w:space="0" w:color="auto"/>
            </w:tcBorders>
            <w:vAlign w:val="center"/>
          </w:tcPr>
          <w:p w14:paraId="3D19971C" w14:textId="0B75CB7D" w:rsidR="001B221C" w:rsidRPr="002B2821" w:rsidRDefault="006531F8" w:rsidP="001B221C">
            <w:pPr>
              <w:pStyle w:val="TableText"/>
              <w:jc w:val="right"/>
              <w:rPr>
                <w:b/>
                <w:color w:val="000000" w:themeColor="text1"/>
              </w:rPr>
            </w:pPr>
            <w:r w:rsidRPr="002B2821">
              <w:rPr>
                <w:rFonts w:asciiTheme="minorHAnsi" w:hAnsiTheme="minorHAnsi" w:cs="Arial"/>
                <w:b/>
                <w:color w:val="000000" w:themeColor="text1"/>
                <w:sz w:val="24"/>
                <w:szCs w:val="24"/>
              </w:rPr>
              <w:t>2</w:t>
            </w:r>
            <w:r w:rsidR="00DD1073" w:rsidRPr="002B2821">
              <w:rPr>
                <w:rFonts w:asciiTheme="minorHAnsi" w:hAnsiTheme="minorHAnsi" w:cs="Arial"/>
                <w:b/>
                <w:color w:val="000000" w:themeColor="text1"/>
                <w:sz w:val="24"/>
                <w:szCs w:val="24"/>
              </w:rPr>
              <w:t>8</w:t>
            </w:r>
          </w:p>
        </w:tc>
        <w:tc>
          <w:tcPr>
            <w:tcW w:w="1247" w:type="dxa"/>
            <w:tcBorders>
              <w:bottom w:val="single" w:sz="4" w:space="0" w:color="auto"/>
            </w:tcBorders>
            <w:vAlign w:val="center"/>
          </w:tcPr>
          <w:p w14:paraId="19C6DD7F" w14:textId="24CD22C6" w:rsidR="001B221C" w:rsidRPr="002B2821" w:rsidRDefault="00DD1073" w:rsidP="001B221C">
            <w:pPr>
              <w:pStyle w:val="TableFigure"/>
              <w:tabs>
                <w:tab w:val="decimal" w:pos="1031"/>
              </w:tabs>
              <w:spacing w:before="0"/>
              <w:jc w:val="right"/>
              <w:rPr>
                <w:rFonts w:asciiTheme="minorHAnsi" w:hAnsiTheme="minorHAnsi" w:cs="Arial"/>
                <w:b w:val="0"/>
                <w:sz w:val="24"/>
                <w:szCs w:val="24"/>
              </w:rPr>
            </w:pPr>
            <w:r w:rsidRPr="002B2821">
              <w:rPr>
                <w:rFonts w:asciiTheme="minorHAnsi" w:hAnsiTheme="minorHAnsi" w:cs="Arial"/>
                <w:b w:val="0"/>
                <w:sz w:val="24"/>
                <w:szCs w:val="24"/>
              </w:rPr>
              <w:t>24</w:t>
            </w:r>
          </w:p>
        </w:tc>
      </w:tr>
      <w:tr w:rsidR="001B221C" w:rsidRPr="002B2821" w14:paraId="0501A973" w14:textId="77777777" w:rsidTr="006F704C">
        <w:trPr>
          <w:trHeight w:hRule="exact" w:val="400"/>
        </w:trPr>
        <w:tc>
          <w:tcPr>
            <w:tcW w:w="6464" w:type="dxa"/>
            <w:vAlign w:val="center"/>
          </w:tcPr>
          <w:p w14:paraId="20DB9D1E" w14:textId="77777777" w:rsidR="001B221C" w:rsidRPr="002B2821" w:rsidRDefault="001B221C" w:rsidP="001B221C">
            <w:pPr>
              <w:pStyle w:val="TableRowHeader"/>
              <w:spacing w:before="0" w:after="0" w:line="240" w:lineRule="auto"/>
              <w:ind w:left="0"/>
              <w:rPr>
                <w:rFonts w:asciiTheme="minorHAnsi" w:hAnsiTheme="minorHAnsi" w:cs="Arial"/>
                <w:sz w:val="24"/>
                <w:szCs w:val="24"/>
              </w:rPr>
            </w:pPr>
          </w:p>
        </w:tc>
        <w:tc>
          <w:tcPr>
            <w:tcW w:w="1049" w:type="dxa"/>
            <w:tcBorders>
              <w:top w:val="single" w:sz="4" w:space="0" w:color="auto"/>
              <w:bottom w:val="single" w:sz="4" w:space="0" w:color="auto"/>
            </w:tcBorders>
            <w:vAlign w:val="center"/>
          </w:tcPr>
          <w:p w14:paraId="24274D0F" w14:textId="6318556B" w:rsidR="001B221C" w:rsidRPr="002B2821" w:rsidRDefault="00DD1073" w:rsidP="006531F8">
            <w:pPr>
              <w:pStyle w:val="TableFigure"/>
              <w:tabs>
                <w:tab w:val="decimal" w:pos="1031"/>
              </w:tabs>
              <w:spacing w:before="0"/>
              <w:jc w:val="right"/>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708</w:t>
            </w:r>
          </w:p>
        </w:tc>
        <w:tc>
          <w:tcPr>
            <w:tcW w:w="1247" w:type="dxa"/>
            <w:tcBorders>
              <w:top w:val="single" w:sz="4" w:space="0" w:color="auto"/>
              <w:bottom w:val="single" w:sz="4" w:space="0" w:color="auto"/>
            </w:tcBorders>
            <w:vAlign w:val="center"/>
          </w:tcPr>
          <w:p w14:paraId="12C40507" w14:textId="27ACE670" w:rsidR="001B221C" w:rsidRPr="002B2821" w:rsidRDefault="001B221C" w:rsidP="001B221C">
            <w:pPr>
              <w:pStyle w:val="TableFigure"/>
              <w:tabs>
                <w:tab w:val="decimal" w:pos="1031"/>
              </w:tabs>
              <w:spacing w:before="0"/>
              <w:jc w:val="right"/>
              <w:rPr>
                <w:rFonts w:asciiTheme="minorHAnsi" w:hAnsiTheme="minorHAnsi" w:cs="Arial"/>
                <w:b w:val="0"/>
                <w:sz w:val="24"/>
                <w:szCs w:val="24"/>
              </w:rPr>
            </w:pPr>
            <w:r w:rsidRPr="002B2821">
              <w:rPr>
                <w:rFonts w:asciiTheme="minorHAnsi" w:hAnsiTheme="minorHAnsi" w:cs="Arial"/>
                <w:b w:val="0"/>
                <w:sz w:val="24"/>
                <w:szCs w:val="24"/>
              </w:rPr>
              <w:t>5</w:t>
            </w:r>
            <w:r w:rsidR="00DD1073" w:rsidRPr="002B2821">
              <w:rPr>
                <w:rFonts w:asciiTheme="minorHAnsi" w:hAnsiTheme="minorHAnsi" w:cs="Arial"/>
                <w:b w:val="0"/>
                <w:sz w:val="24"/>
                <w:szCs w:val="24"/>
              </w:rPr>
              <w:t>98</w:t>
            </w:r>
          </w:p>
        </w:tc>
      </w:tr>
    </w:tbl>
    <w:p w14:paraId="2BCE5454" w14:textId="77777777" w:rsidR="00B200FC" w:rsidRPr="002B2821" w:rsidRDefault="00B200FC" w:rsidP="00B200FC">
      <w:pPr>
        <w:tabs>
          <w:tab w:val="left" w:pos="0"/>
          <w:tab w:val="left" w:pos="720"/>
          <w:tab w:val="decimal" w:pos="5376"/>
          <w:tab w:val="decimal" w:pos="7256"/>
          <w:tab w:val="decimal" w:pos="8667"/>
        </w:tabs>
        <w:suppressAutoHyphens/>
        <w:spacing w:after="0" w:line="240" w:lineRule="auto"/>
        <w:rPr>
          <w:rFonts w:asciiTheme="minorHAnsi" w:hAnsiTheme="minorHAnsi" w:cs="Arial"/>
          <w:sz w:val="24"/>
          <w:szCs w:val="24"/>
        </w:rPr>
      </w:pPr>
    </w:p>
    <w:p w14:paraId="2585F328" w14:textId="488DC1AF" w:rsidR="00B200FC" w:rsidRPr="002B2821" w:rsidRDefault="00B200FC" w:rsidP="00E540A0">
      <w:pPr>
        <w:tabs>
          <w:tab w:val="left" w:pos="0"/>
          <w:tab w:val="left" w:pos="720"/>
          <w:tab w:val="decimal" w:pos="5376"/>
          <w:tab w:val="decimal" w:pos="7256"/>
          <w:tab w:val="decimal" w:pos="8667"/>
        </w:tabs>
        <w:suppressAutoHyphens/>
        <w:spacing w:after="120" w:line="240" w:lineRule="auto"/>
        <w:rPr>
          <w:rFonts w:asciiTheme="minorHAnsi" w:hAnsiTheme="minorHAnsi" w:cs="Arial"/>
          <w:sz w:val="24"/>
          <w:szCs w:val="24"/>
        </w:rPr>
      </w:pPr>
      <w:r w:rsidRPr="002B2821">
        <w:rPr>
          <w:rFonts w:asciiTheme="minorHAnsi" w:hAnsiTheme="minorHAnsi" w:cs="Arial"/>
          <w:sz w:val="24"/>
          <w:szCs w:val="24"/>
        </w:rPr>
        <w:t xml:space="preserve">The number of employees whose </w:t>
      </w:r>
      <w:r w:rsidR="00EF1836" w:rsidRPr="002B2821">
        <w:rPr>
          <w:rFonts w:asciiTheme="minorHAnsi" w:hAnsiTheme="minorHAnsi" w:cs="Arial"/>
          <w:sz w:val="24"/>
          <w:szCs w:val="24"/>
        </w:rPr>
        <w:t xml:space="preserve">total </w:t>
      </w:r>
      <w:r w:rsidRPr="002B2821">
        <w:rPr>
          <w:rFonts w:asciiTheme="minorHAnsi" w:hAnsiTheme="minorHAnsi" w:cs="Arial"/>
          <w:sz w:val="24"/>
          <w:szCs w:val="24"/>
        </w:rPr>
        <w:t>emoluments</w:t>
      </w:r>
      <w:r w:rsidR="001C3E81" w:rsidRPr="002B2821">
        <w:rPr>
          <w:rFonts w:asciiTheme="minorHAnsi" w:hAnsiTheme="minorHAnsi" w:cs="Arial"/>
          <w:sz w:val="24"/>
          <w:szCs w:val="24"/>
        </w:rPr>
        <w:t xml:space="preserve"> (i.e. salary and taxable benefits) </w:t>
      </w:r>
      <w:r w:rsidRPr="002B2821">
        <w:rPr>
          <w:rFonts w:asciiTheme="minorHAnsi" w:hAnsiTheme="minorHAnsi" w:cs="Arial"/>
          <w:sz w:val="24"/>
          <w:szCs w:val="24"/>
        </w:rPr>
        <w:t>exceeded £60,000 per annum were:</w:t>
      </w:r>
    </w:p>
    <w:tbl>
      <w:tblPr>
        <w:tblW w:w="8823" w:type="dxa"/>
        <w:tblInd w:w="108" w:type="dxa"/>
        <w:tblLayout w:type="fixed"/>
        <w:tblLook w:val="0000" w:firstRow="0" w:lastRow="0" w:firstColumn="0" w:lastColumn="0" w:noHBand="0" w:noVBand="0"/>
      </w:tblPr>
      <w:tblGrid>
        <w:gridCol w:w="6464"/>
        <w:gridCol w:w="1247"/>
        <w:gridCol w:w="1112"/>
      </w:tblGrid>
      <w:tr w:rsidR="00B200FC" w:rsidRPr="002B2821" w14:paraId="726CD2CF" w14:textId="77777777" w:rsidTr="00464A3B">
        <w:trPr>
          <w:trHeight w:hRule="exact" w:val="672"/>
          <w:tblHeader/>
        </w:trPr>
        <w:tc>
          <w:tcPr>
            <w:tcW w:w="6464" w:type="dxa"/>
          </w:tcPr>
          <w:p w14:paraId="1ECE1ACD" w14:textId="77777777" w:rsidR="00B200FC" w:rsidRPr="002B2821" w:rsidRDefault="00B200FC" w:rsidP="00464A3B">
            <w:pPr>
              <w:pStyle w:val="TableText"/>
              <w:spacing w:before="0" w:after="0" w:line="240" w:lineRule="auto"/>
              <w:ind w:hanging="108"/>
              <w:rPr>
                <w:rFonts w:asciiTheme="minorHAnsi" w:hAnsiTheme="minorHAnsi" w:cs="Arial"/>
                <w:b/>
                <w:sz w:val="24"/>
                <w:szCs w:val="24"/>
              </w:rPr>
            </w:pPr>
          </w:p>
        </w:tc>
        <w:tc>
          <w:tcPr>
            <w:tcW w:w="1247" w:type="dxa"/>
          </w:tcPr>
          <w:p w14:paraId="63E6F912" w14:textId="4B2B8F56" w:rsidR="00B200FC" w:rsidRPr="002B2821" w:rsidRDefault="00B200FC" w:rsidP="00464A3B">
            <w:pPr>
              <w:pStyle w:val="TableColumnHeader"/>
              <w:tabs>
                <w:tab w:val="decimal" w:pos="941"/>
              </w:tabs>
              <w:spacing w:before="0"/>
              <w:jc w:val="center"/>
              <w:rPr>
                <w:rFonts w:asciiTheme="minorHAnsi" w:hAnsiTheme="minorHAnsi" w:cs="Arial"/>
                <w:color w:val="442359"/>
                <w:sz w:val="24"/>
                <w:szCs w:val="24"/>
              </w:rPr>
            </w:pPr>
            <w:r w:rsidRPr="002B2821">
              <w:rPr>
                <w:rFonts w:asciiTheme="minorHAnsi" w:hAnsiTheme="minorHAnsi" w:cs="Arial"/>
                <w:color w:val="442359"/>
                <w:sz w:val="24"/>
                <w:szCs w:val="24"/>
              </w:rPr>
              <w:t>201</w:t>
            </w:r>
            <w:r w:rsidR="0091728A" w:rsidRPr="002B2821">
              <w:rPr>
                <w:rFonts w:asciiTheme="minorHAnsi" w:hAnsiTheme="minorHAnsi" w:cs="Arial"/>
                <w:color w:val="442359"/>
                <w:sz w:val="24"/>
                <w:szCs w:val="24"/>
              </w:rPr>
              <w:t>8</w:t>
            </w:r>
          </w:p>
          <w:p w14:paraId="2EEE1622" w14:textId="77777777" w:rsidR="00B200FC" w:rsidRPr="002B2821" w:rsidRDefault="00B200FC" w:rsidP="00464A3B">
            <w:pPr>
              <w:pStyle w:val="TableColumnHeader"/>
              <w:tabs>
                <w:tab w:val="decimal" w:pos="941"/>
              </w:tabs>
              <w:spacing w:before="0"/>
              <w:jc w:val="center"/>
              <w:rPr>
                <w:rFonts w:asciiTheme="minorHAnsi" w:hAnsiTheme="minorHAnsi" w:cs="Arial"/>
                <w:color w:val="442359"/>
                <w:sz w:val="24"/>
                <w:szCs w:val="24"/>
              </w:rPr>
            </w:pPr>
            <w:r w:rsidRPr="002B2821">
              <w:rPr>
                <w:rFonts w:asciiTheme="minorHAnsi" w:hAnsiTheme="minorHAnsi" w:cs="Arial"/>
                <w:color w:val="442359"/>
                <w:sz w:val="24"/>
                <w:szCs w:val="24"/>
              </w:rPr>
              <w:t>Number</w:t>
            </w:r>
          </w:p>
        </w:tc>
        <w:tc>
          <w:tcPr>
            <w:tcW w:w="1112" w:type="dxa"/>
          </w:tcPr>
          <w:p w14:paraId="7ED3F415" w14:textId="24CDA0D6" w:rsidR="00B200FC" w:rsidRPr="002B2821" w:rsidRDefault="00B200FC" w:rsidP="00464A3B">
            <w:pPr>
              <w:pStyle w:val="TableColumnHeader"/>
              <w:tabs>
                <w:tab w:val="decimal" w:pos="970"/>
              </w:tabs>
              <w:spacing w:before="0"/>
              <w:jc w:val="center"/>
              <w:rPr>
                <w:rFonts w:asciiTheme="minorHAnsi" w:hAnsiTheme="minorHAnsi" w:cs="Arial"/>
                <w:b w:val="0"/>
                <w:color w:val="442359"/>
                <w:sz w:val="24"/>
                <w:szCs w:val="24"/>
              </w:rPr>
            </w:pPr>
            <w:r w:rsidRPr="002B2821">
              <w:rPr>
                <w:rFonts w:asciiTheme="minorHAnsi" w:hAnsiTheme="minorHAnsi" w:cs="Arial"/>
                <w:b w:val="0"/>
                <w:color w:val="442359"/>
                <w:sz w:val="24"/>
                <w:szCs w:val="24"/>
              </w:rPr>
              <w:t>201</w:t>
            </w:r>
            <w:r w:rsidR="0091728A" w:rsidRPr="002B2821">
              <w:rPr>
                <w:rFonts w:asciiTheme="minorHAnsi" w:hAnsiTheme="minorHAnsi" w:cs="Arial"/>
                <w:b w:val="0"/>
                <w:color w:val="442359"/>
                <w:sz w:val="24"/>
                <w:szCs w:val="24"/>
              </w:rPr>
              <w:t>7</w:t>
            </w:r>
          </w:p>
          <w:p w14:paraId="2447D2C0" w14:textId="77777777" w:rsidR="00B200FC" w:rsidRPr="002B2821" w:rsidRDefault="00B200FC" w:rsidP="00464A3B">
            <w:pPr>
              <w:pStyle w:val="TableColumnHeader"/>
              <w:tabs>
                <w:tab w:val="decimal" w:pos="970"/>
              </w:tabs>
              <w:spacing w:before="0"/>
              <w:jc w:val="center"/>
              <w:rPr>
                <w:rFonts w:asciiTheme="minorHAnsi" w:hAnsiTheme="minorHAnsi" w:cs="Arial"/>
                <w:b w:val="0"/>
                <w:color w:val="442359"/>
                <w:sz w:val="24"/>
                <w:szCs w:val="24"/>
              </w:rPr>
            </w:pPr>
            <w:r w:rsidRPr="002B2821">
              <w:rPr>
                <w:rFonts w:asciiTheme="minorHAnsi" w:hAnsiTheme="minorHAnsi" w:cs="Arial"/>
                <w:b w:val="0"/>
                <w:color w:val="442359"/>
                <w:sz w:val="24"/>
                <w:szCs w:val="24"/>
              </w:rPr>
              <w:t>Number</w:t>
            </w:r>
          </w:p>
        </w:tc>
      </w:tr>
      <w:tr w:rsidR="00B200FC" w:rsidRPr="002B2821" w14:paraId="0127D796" w14:textId="77777777" w:rsidTr="00464A3B">
        <w:trPr>
          <w:trHeight w:hRule="exact" w:val="276"/>
        </w:trPr>
        <w:tc>
          <w:tcPr>
            <w:tcW w:w="6464" w:type="dxa"/>
            <w:vAlign w:val="center"/>
          </w:tcPr>
          <w:p w14:paraId="53E03ED7" w14:textId="77777777" w:rsidR="00B200FC" w:rsidRPr="002B2821" w:rsidRDefault="00B200FC" w:rsidP="00464A3B">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£60,001 - £70,000</w:t>
            </w:r>
          </w:p>
        </w:tc>
        <w:tc>
          <w:tcPr>
            <w:tcW w:w="1247" w:type="dxa"/>
            <w:vAlign w:val="center"/>
          </w:tcPr>
          <w:p w14:paraId="5CD7B0D2" w14:textId="53E787EE" w:rsidR="00B200FC" w:rsidRPr="002B2821" w:rsidRDefault="0091728A" w:rsidP="0091728A">
            <w:pPr>
              <w:pStyle w:val="TableText"/>
              <w:spacing w:before="0" w:after="0" w:line="240" w:lineRule="auto"/>
              <w:jc w:val="right"/>
              <w:rPr>
                <w:rFonts w:asciiTheme="minorHAnsi" w:hAnsiTheme="minorHAnsi" w:cs="Arial"/>
                <w:b/>
                <w:sz w:val="24"/>
                <w:szCs w:val="24"/>
              </w:rPr>
            </w:pPr>
            <w:r w:rsidRPr="002B2821">
              <w:rPr>
                <w:rFonts w:asciiTheme="minorHAnsi" w:hAnsiTheme="minorHAnsi" w:cs="Arial"/>
                <w:b/>
                <w:sz w:val="24"/>
                <w:szCs w:val="24"/>
              </w:rPr>
              <w:t>2</w:t>
            </w:r>
          </w:p>
        </w:tc>
        <w:tc>
          <w:tcPr>
            <w:tcW w:w="1112" w:type="dxa"/>
            <w:vAlign w:val="center"/>
          </w:tcPr>
          <w:p w14:paraId="59A745A6" w14:textId="248DB03E" w:rsidR="00B200FC" w:rsidRPr="002B2821" w:rsidRDefault="0091728A" w:rsidP="0091728A">
            <w:pPr>
              <w:pStyle w:val="TableText"/>
              <w:spacing w:before="0" w:after="0" w:line="240" w:lineRule="auto"/>
              <w:jc w:val="right"/>
              <w:rPr>
                <w:rFonts w:asciiTheme="minorHAnsi" w:hAnsiTheme="minorHAnsi" w:cs="Arial"/>
                <w:sz w:val="24"/>
                <w:szCs w:val="24"/>
              </w:rPr>
            </w:pPr>
            <w:r w:rsidRPr="002B2821">
              <w:rPr>
                <w:rFonts w:asciiTheme="minorHAnsi" w:hAnsiTheme="minorHAnsi" w:cs="Arial"/>
                <w:sz w:val="24"/>
                <w:szCs w:val="24"/>
              </w:rPr>
              <w:t>3</w:t>
            </w:r>
          </w:p>
        </w:tc>
      </w:tr>
      <w:tr w:rsidR="0091728A" w:rsidRPr="002B2821" w14:paraId="483EB58E" w14:textId="77777777" w:rsidTr="00464A3B">
        <w:trPr>
          <w:trHeight w:hRule="exact" w:val="276"/>
        </w:trPr>
        <w:tc>
          <w:tcPr>
            <w:tcW w:w="6464" w:type="dxa"/>
            <w:vAlign w:val="center"/>
          </w:tcPr>
          <w:p w14:paraId="7A144709" w14:textId="74569717" w:rsidR="0091728A" w:rsidRPr="002B2821" w:rsidRDefault="0091728A" w:rsidP="00464A3B">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£70,001 - £80,000</w:t>
            </w:r>
          </w:p>
        </w:tc>
        <w:tc>
          <w:tcPr>
            <w:tcW w:w="1247" w:type="dxa"/>
            <w:vAlign w:val="center"/>
          </w:tcPr>
          <w:p w14:paraId="76F627FE" w14:textId="4B4F84EF" w:rsidR="0091728A" w:rsidRPr="002B2821" w:rsidRDefault="0091728A" w:rsidP="00985CAC">
            <w:pPr>
              <w:pStyle w:val="TableText"/>
              <w:spacing w:before="0" w:after="0" w:line="240" w:lineRule="auto"/>
              <w:jc w:val="right"/>
              <w:rPr>
                <w:rFonts w:asciiTheme="minorHAnsi" w:hAnsiTheme="minorHAnsi" w:cs="Arial"/>
                <w:b/>
                <w:sz w:val="24"/>
                <w:szCs w:val="24"/>
              </w:rPr>
            </w:pPr>
            <w:r w:rsidRPr="002B2821">
              <w:rPr>
                <w:rFonts w:asciiTheme="minorHAnsi" w:hAnsiTheme="minorHAnsi" w:cs="Arial"/>
                <w:b/>
                <w:sz w:val="24"/>
                <w:szCs w:val="24"/>
              </w:rPr>
              <w:t>1</w:t>
            </w:r>
          </w:p>
        </w:tc>
        <w:tc>
          <w:tcPr>
            <w:tcW w:w="1112" w:type="dxa"/>
            <w:vAlign w:val="center"/>
          </w:tcPr>
          <w:p w14:paraId="5C6921B3" w14:textId="38EF4132" w:rsidR="0091728A" w:rsidRPr="002B2821" w:rsidRDefault="0091728A" w:rsidP="00464A3B">
            <w:pPr>
              <w:pStyle w:val="TableText"/>
              <w:spacing w:before="0" w:after="0" w:line="240" w:lineRule="auto"/>
              <w:jc w:val="right"/>
              <w:rPr>
                <w:rFonts w:asciiTheme="minorHAnsi" w:hAnsiTheme="minorHAnsi" w:cs="Arial"/>
                <w:sz w:val="24"/>
                <w:szCs w:val="24"/>
              </w:rPr>
            </w:pPr>
            <w:r w:rsidRPr="002B2821">
              <w:rPr>
                <w:rFonts w:asciiTheme="minorHAnsi" w:hAnsiTheme="minorHAnsi" w:cs="Arial"/>
                <w:sz w:val="24"/>
                <w:szCs w:val="24"/>
              </w:rPr>
              <w:t>-</w:t>
            </w:r>
          </w:p>
        </w:tc>
      </w:tr>
      <w:tr w:rsidR="00B200FC" w:rsidRPr="002B2821" w14:paraId="51B63E1D" w14:textId="77777777" w:rsidTr="00464A3B">
        <w:trPr>
          <w:trHeight w:hRule="exact" w:val="400"/>
        </w:trPr>
        <w:tc>
          <w:tcPr>
            <w:tcW w:w="6464" w:type="dxa"/>
            <w:vAlign w:val="center"/>
          </w:tcPr>
          <w:p w14:paraId="708646A4" w14:textId="77777777" w:rsidR="00B200FC" w:rsidRPr="002B2821" w:rsidRDefault="00B200FC" w:rsidP="000D0ED6">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£10</w:t>
            </w:r>
            <w:r w:rsidR="000D0ED6" w:rsidRPr="002B2821">
              <w:rPr>
                <w:rFonts w:asciiTheme="minorHAnsi" w:hAnsiTheme="minorHAnsi" w:cs="Arial"/>
                <w:sz w:val="24"/>
                <w:szCs w:val="24"/>
              </w:rPr>
              <w:t>0</w:t>
            </w:r>
            <w:r w:rsidRPr="002B2821">
              <w:rPr>
                <w:rFonts w:asciiTheme="minorHAnsi" w:hAnsiTheme="minorHAnsi" w:cs="Arial"/>
                <w:sz w:val="24"/>
                <w:szCs w:val="24"/>
              </w:rPr>
              <w:t>,00</w:t>
            </w:r>
            <w:r w:rsidR="000D0ED6" w:rsidRPr="002B2821">
              <w:rPr>
                <w:rFonts w:asciiTheme="minorHAnsi" w:hAnsiTheme="minorHAnsi" w:cs="Arial"/>
                <w:sz w:val="24"/>
                <w:szCs w:val="24"/>
              </w:rPr>
              <w:t>1</w:t>
            </w:r>
            <w:r w:rsidRPr="002B2821">
              <w:rPr>
                <w:rFonts w:asciiTheme="minorHAnsi" w:hAnsiTheme="minorHAnsi" w:cs="Arial"/>
                <w:sz w:val="24"/>
                <w:szCs w:val="24"/>
              </w:rPr>
              <w:t xml:space="preserve"> - £110,000</w:t>
            </w:r>
          </w:p>
        </w:tc>
        <w:tc>
          <w:tcPr>
            <w:tcW w:w="1247" w:type="dxa"/>
            <w:vAlign w:val="center"/>
          </w:tcPr>
          <w:p w14:paraId="6A5107C6" w14:textId="0634F9F8" w:rsidR="00B200FC" w:rsidRPr="002B2821" w:rsidRDefault="0091728A" w:rsidP="000D0ED6">
            <w:pPr>
              <w:pStyle w:val="TableText"/>
              <w:spacing w:before="0" w:after="0" w:line="240" w:lineRule="auto"/>
              <w:jc w:val="right"/>
              <w:rPr>
                <w:rFonts w:asciiTheme="minorHAnsi" w:hAnsiTheme="minorHAnsi" w:cs="Arial"/>
                <w:b/>
                <w:sz w:val="24"/>
                <w:szCs w:val="24"/>
              </w:rPr>
            </w:pPr>
            <w:r w:rsidRPr="002B2821">
              <w:rPr>
                <w:rFonts w:asciiTheme="minorHAnsi" w:hAnsiTheme="minorHAnsi" w:cs="Arial"/>
                <w:b/>
                <w:sz w:val="24"/>
                <w:szCs w:val="24"/>
              </w:rPr>
              <w:t>-</w:t>
            </w:r>
          </w:p>
        </w:tc>
        <w:tc>
          <w:tcPr>
            <w:tcW w:w="1112" w:type="dxa"/>
            <w:vAlign w:val="center"/>
          </w:tcPr>
          <w:p w14:paraId="41A42899" w14:textId="77777777" w:rsidR="00B200FC" w:rsidRPr="002B2821" w:rsidRDefault="001B221C" w:rsidP="00464A3B">
            <w:pPr>
              <w:pStyle w:val="TableText"/>
              <w:spacing w:before="0" w:after="0" w:line="240" w:lineRule="auto"/>
              <w:jc w:val="right"/>
              <w:rPr>
                <w:rFonts w:asciiTheme="minorHAnsi" w:hAnsiTheme="minorHAnsi" w:cs="Arial"/>
                <w:sz w:val="24"/>
                <w:szCs w:val="24"/>
              </w:rPr>
            </w:pPr>
            <w:r w:rsidRPr="002B2821">
              <w:rPr>
                <w:rFonts w:asciiTheme="minorHAnsi" w:hAnsiTheme="minorHAnsi" w:cs="Arial"/>
                <w:sz w:val="24"/>
                <w:szCs w:val="24"/>
              </w:rPr>
              <w:t>1</w:t>
            </w:r>
          </w:p>
        </w:tc>
      </w:tr>
      <w:tr w:rsidR="0091728A" w:rsidRPr="002B2821" w14:paraId="580CFE9F" w14:textId="77777777" w:rsidTr="00464A3B">
        <w:trPr>
          <w:trHeight w:hRule="exact" w:val="400"/>
        </w:trPr>
        <w:tc>
          <w:tcPr>
            <w:tcW w:w="6464" w:type="dxa"/>
            <w:vAlign w:val="center"/>
          </w:tcPr>
          <w:p w14:paraId="56988C81" w14:textId="4DA4EE1C" w:rsidR="0091728A" w:rsidRPr="002B2821" w:rsidRDefault="0091728A" w:rsidP="000D0ED6">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z w:val="24"/>
                <w:szCs w:val="24"/>
              </w:rPr>
              <w:t>£110,001 - £120,000</w:t>
            </w:r>
          </w:p>
        </w:tc>
        <w:tc>
          <w:tcPr>
            <w:tcW w:w="1247" w:type="dxa"/>
            <w:vAlign w:val="center"/>
          </w:tcPr>
          <w:p w14:paraId="355304EF" w14:textId="39665591" w:rsidR="0091728A" w:rsidRPr="002B2821" w:rsidRDefault="0091728A" w:rsidP="000D0ED6">
            <w:pPr>
              <w:pStyle w:val="TableText"/>
              <w:spacing w:before="0" w:after="0" w:line="240" w:lineRule="auto"/>
              <w:jc w:val="right"/>
              <w:rPr>
                <w:rFonts w:asciiTheme="minorHAnsi" w:hAnsiTheme="minorHAnsi" w:cs="Arial"/>
                <w:b/>
                <w:sz w:val="24"/>
                <w:szCs w:val="24"/>
              </w:rPr>
            </w:pPr>
            <w:r w:rsidRPr="002B2821">
              <w:rPr>
                <w:rFonts w:asciiTheme="minorHAnsi" w:hAnsiTheme="minorHAnsi" w:cs="Arial"/>
                <w:b/>
                <w:sz w:val="24"/>
                <w:szCs w:val="24"/>
              </w:rPr>
              <w:t>1</w:t>
            </w:r>
          </w:p>
        </w:tc>
        <w:tc>
          <w:tcPr>
            <w:tcW w:w="1112" w:type="dxa"/>
            <w:vAlign w:val="center"/>
          </w:tcPr>
          <w:p w14:paraId="4CF11705" w14:textId="25ED778A" w:rsidR="0091728A" w:rsidRPr="002B2821" w:rsidRDefault="0091728A" w:rsidP="00464A3B">
            <w:pPr>
              <w:pStyle w:val="TableText"/>
              <w:spacing w:before="0" w:after="0" w:line="240" w:lineRule="auto"/>
              <w:jc w:val="right"/>
              <w:rPr>
                <w:rFonts w:asciiTheme="minorHAnsi" w:hAnsiTheme="minorHAnsi" w:cs="Arial"/>
                <w:sz w:val="24"/>
                <w:szCs w:val="24"/>
              </w:rPr>
            </w:pPr>
            <w:r w:rsidRPr="002B2821">
              <w:rPr>
                <w:rFonts w:asciiTheme="minorHAnsi" w:hAnsiTheme="minorHAnsi" w:cs="Arial"/>
                <w:sz w:val="24"/>
                <w:szCs w:val="24"/>
              </w:rPr>
              <w:t>-</w:t>
            </w:r>
          </w:p>
        </w:tc>
      </w:tr>
    </w:tbl>
    <w:p w14:paraId="5779B1C8" w14:textId="706AAF3E" w:rsidR="00B1587C" w:rsidRPr="002B2821" w:rsidRDefault="00C627A0" w:rsidP="00E540A0">
      <w:pPr>
        <w:pStyle w:val="BodyText"/>
        <w:spacing w:after="180" w:line="240" w:lineRule="auto"/>
        <w:rPr>
          <w:rFonts w:asciiTheme="minorHAnsi" w:hAnsiTheme="minorHAnsi" w:cs="Arial"/>
          <w:sz w:val="24"/>
          <w:szCs w:val="24"/>
        </w:rPr>
      </w:pPr>
      <w:r w:rsidRPr="002B2821">
        <w:rPr>
          <w:rFonts w:asciiTheme="minorHAnsi" w:hAnsiTheme="minorHAnsi" w:cs="Arial"/>
          <w:b/>
          <w:color w:val="442359"/>
          <w:sz w:val="24"/>
          <w:szCs w:val="24"/>
        </w:rPr>
        <w:br/>
      </w:r>
      <w:r w:rsidR="00B1587C" w:rsidRPr="002B2821">
        <w:rPr>
          <w:rFonts w:asciiTheme="minorHAnsi" w:hAnsiTheme="minorHAnsi" w:cs="Arial"/>
          <w:sz w:val="24"/>
          <w:szCs w:val="24"/>
        </w:rPr>
        <w:t xml:space="preserve">Pension contributions towards a money purchase scheme paid in the </w:t>
      </w:r>
      <w:r w:rsidR="00116304" w:rsidRPr="002B2821">
        <w:rPr>
          <w:rFonts w:asciiTheme="minorHAnsi" w:hAnsiTheme="minorHAnsi" w:cs="Arial"/>
          <w:sz w:val="24"/>
          <w:szCs w:val="24"/>
        </w:rPr>
        <w:t>year</w:t>
      </w:r>
      <w:r w:rsidR="00B1587C" w:rsidRPr="002B2821">
        <w:rPr>
          <w:rFonts w:asciiTheme="minorHAnsi" w:hAnsiTheme="minorHAnsi" w:cs="Arial"/>
          <w:sz w:val="24"/>
          <w:szCs w:val="24"/>
        </w:rPr>
        <w:t xml:space="preserve"> for the above staff paid more than £60,000</w:t>
      </w:r>
      <w:r w:rsidR="004B4ED6" w:rsidRPr="002B2821">
        <w:rPr>
          <w:rFonts w:asciiTheme="minorHAnsi" w:hAnsiTheme="minorHAnsi" w:cs="Arial"/>
          <w:sz w:val="24"/>
          <w:szCs w:val="24"/>
        </w:rPr>
        <w:t xml:space="preserve"> per annum </w:t>
      </w:r>
      <w:r w:rsidR="00B1587C" w:rsidRPr="002B2821">
        <w:rPr>
          <w:rFonts w:asciiTheme="minorHAnsi" w:hAnsiTheme="minorHAnsi" w:cs="Arial"/>
          <w:sz w:val="24"/>
          <w:szCs w:val="24"/>
        </w:rPr>
        <w:t xml:space="preserve">amounted to </w:t>
      </w:r>
      <w:r w:rsidR="00005AF3" w:rsidRPr="002B2821">
        <w:rPr>
          <w:rFonts w:asciiTheme="minorHAnsi" w:hAnsiTheme="minorHAnsi" w:cs="Arial"/>
          <w:spacing w:val="-3"/>
          <w:kern w:val="2"/>
          <w:sz w:val="24"/>
          <w:szCs w:val="24"/>
        </w:rPr>
        <w:t>£</w:t>
      </w:r>
      <w:r w:rsidR="00985CAC" w:rsidRPr="002B2821">
        <w:rPr>
          <w:rFonts w:asciiTheme="minorHAnsi" w:hAnsiTheme="minorHAnsi" w:cs="Arial"/>
          <w:spacing w:val="-3"/>
          <w:kern w:val="2"/>
          <w:sz w:val="24"/>
          <w:szCs w:val="24"/>
        </w:rPr>
        <w:t>2</w:t>
      </w:r>
      <w:r w:rsidR="00F405E4" w:rsidRPr="002B2821">
        <w:rPr>
          <w:rFonts w:asciiTheme="minorHAnsi" w:hAnsiTheme="minorHAnsi" w:cs="Arial"/>
          <w:spacing w:val="-3"/>
          <w:kern w:val="2"/>
          <w:sz w:val="24"/>
          <w:szCs w:val="24"/>
        </w:rPr>
        <w:t>9</w:t>
      </w:r>
      <w:r w:rsidR="00C047E5" w:rsidRPr="002B2821">
        <w:rPr>
          <w:rFonts w:asciiTheme="minorHAnsi" w:hAnsiTheme="minorHAnsi" w:cs="Arial"/>
          <w:spacing w:val="-3"/>
          <w:kern w:val="2"/>
          <w:sz w:val="24"/>
          <w:szCs w:val="24"/>
        </w:rPr>
        <w:t>,000</w:t>
      </w:r>
      <w:r w:rsidR="002645AC" w:rsidRPr="002B2821">
        <w:rPr>
          <w:rFonts w:asciiTheme="minorHAnsi" w:hAnsiTheme="minorHAnsi" w:cs="Arial"/>
          <w:spacing w:val="-3"/>
          <w:kern w:val="2"/>
          <w:sz w:val="24"/>
          <w:szCs w:val="24"/>
        </w:rPr>
        <w:t xml:space="preserve"> </w:t>
      </w:r>
      <w:r w:rsidR="00B1587C" w:rsidRPr="002B2821">
        <w:rPr>
          <w:rFonts w:asciiTheme="minorHAnsi" w:hAnsiTheme="minorHAnsi" w:cs="Arial"/>
          <w:sz w:val="24"/>
          <w:szCs w:val="24"/>
        </w:rPr>
        <w:t>(201</w:t>
      </w:r>
      <w:r w:rsidR="00F405E4" w:rsidRPr="002B2821">
        <w:rPr>
          <w:rFonts w:asciiTheme="minorHAnsi" w:hAnsiTheme="minorHAnsi" w:cs="Arial"/>
          <w:sz w:val="24"/>
          <w:szCs w:val="24"/>
        </w:rPr>
        <w:t>7</w:t>
      </w:r>
      <w:r w:rsidR="00B1587C" w:rsidRPr="002B2821">
        <w:rPr>
          <w:rFonts w:asciiTheme="minorHAnsi" w:hAnsiTheme="minorHAnsi" w:cs="Arial"/>
          <w:sz w:val="24"/>
          <w:szCs w:val="24"/>
        </w:rPr>
        <w:t>: £</w:t>
      </w:r>
      <w:r w:rsidR="00F405E4" w:rsidRPr="002B2821">
        <w:rPr>
          <w:rFonts w:asciiTheme="minorHAnsi" w:hAnsiTheme="minorHAnsi" w:cs="Arial"/>
          <w:sz w:val="24"/>
          <w:szCs w:val="24"/>
        </w:rPr>
        <w:t>2</w:t>
      </w:r>
      <w:r w:rsidR="001B221C" w:rsidRPr="002B2821">
        <w:rPr>
          <w:rFonts w:asciiTheme="minorHAnsi" w:hAnsiTheme="minorHAnsi" w:cs="Arial"/>
          <w:sz w:val="24"/>
          <w:szCs w:val="24"/>
        </w:rPr>
        <w:t>8</w:t>
      </w:r>
      <w:r w:rsidR="004B4ED6" w:rsidRPr="002B2821">
        <w:rPr>
          <w:rFonts w:asciiTheme="minorHAnsi" w:hAnsiTheme="minorHAnsi" w:cs="Arial"/>
          <w:sz w:val="24"/>
          <w:szCs w:val="24"/>
        </w:rPr>
        <w:t>,</w:t>
      </w:r>
      <w:r w:rsidR="002049A0" w:rsidRPr="002B2821">
        <w:rPr>
          <w:rFonts w:asciiTheme="minorHAnsi" w:hAnsiTheme="minorHAnsi" w:cs="Arial"/>
          <w:sz w:val="24"/>
          <w:szCs w:val="24"/>
        </w:rPr>
        <w:t>000</w:t>
      </w:r>
      <w:r w:rsidR="00B1587C" w:rsidRPr="002B2821">
        <w:rPr>
          <w:rFonts w:asciiTheme="minorHAnsi" w:hAnsiTheme="minorHAnsi" w:cs="Arial"/>
          <w:sz w:val="24"/>
          <w:szCs w:val="24"/>
        </w:rPr>
        <w:t>).</w:t>
      </w:r>
    </w:p>
    <w:p w14:paraId="72A617ED" w14:textId="427060BA" w:rsidR="00B1587C" w:rsidRPr="002B2821" w:rsidRDefault="00B1587C" w:rsidP="00E540A0">
      <w:pPr>
        <w:tabs>
          <w:tab w:val="left" w:pos="0"/>
          <w:tab w:val="left" w:pos="720"/>
          <w:tab w:val="decimal" w:pos="5376"/>
          <w:tab w:val="decimal" w:pos="7256"/>
          <w:tab w:val="decimal" w:pos="8667"/>
        </w:tabs>
        <w:suppressAutoHyphens/>
        <w:spacing w:after="180" w:line="240" w:lineRule="auto"/>
        <w:rPr>
          <w:rFonts w:asciiTheme="minorHAnsi" w:hAnsiTheme="minorHAnsi" w:cs="Arial"/>
          <w:sz w:val="24"/>
          <w:szCs w:val="24"/>
        </w:rPr>
      </w:pPr>
      <w:r w:rsidRPr="002B2821">
        <w:rPr>
          <w:rFonts w:asciiTheme="minorHAnsi" w:hAnsiTheme="minorHAnsi" w:cs="Arial"/>
          <w:sz w:val="24"/>
          <w:szCs w:val="24"/>
        </w:rPr>
        <w:t xml:space="preserve">Retirement benefits are accruing under a money purchase scheme for </w:t>
      </w:r>
      <w:r w:rsidR="00985CAC" w:rsidRPr="002B2821">
        <w:rPr>
          <w:rFonts w:asciiTheme="minorHAnsi" w:hAnsiTheme="minorHAnsi" w:cs="Arial"/>
          <w:sz w:val="24"/>
          <w:szCs w:val="24"/>
        </w:rPr>
        <w:t>4</w:t>
      </w:r>
      <w:r w:rsidRPr="002B2821">
        <w:rPr>
          <w:rFonts w:asciiTheme="minorHAnsi" w:hAnsiTheme="minorHAnsi" w:cs="Arial"/>
          <w:sz w:val="24"/>
          <w:szCs w:val="24"/>
        </w:rPr>
        <w:t xml:space="preserve"> employees </w:t>
      </w:r>
      <w:r w:rsidR="00701A08" w:rsidRPr="002B2821">
        <w:rPr>
          <w:rFonts w:asciiTheme="minorHAnsi" w:hAnsiTheme="minorHAnsi" w:cs="Arial"/>
          <w:sz w:val="24"/>
          <w:szCs w:val="24"/>
        </w:rPr>
        <w:t xml:space="preserve">     </w:t>
      </w:r>
      <w:r w:rsidRPr="002B2821">
        <w:rPr>
          <w:rFonts w:asciiTheme="minorHAnsi" w:hAnsiTheme="minorHAnsi" w:cs="Arial"/>
          <w:sz w:val="24"/>
          <w:szCs w:val="24"/>
        </w:rPr>
        <w:t>(201</w:t>
      </w:r>
      <w:r w:rsidR="00F405E4" w:rsidRPr="002B2821">
        <w:rPr>
          <w:rFonts w:asciiTheme="minorHAnsi" w:hAnsiTheme="minorHAnsi" w:cs="Arial"/>
          <w:sz w:val="24"/>
          <w:szCs w:val="24"/>
        </w:rPr>
        <w:t>7</w:t>
      </w:r>
      <w:r w:rsidRPr="002B2821">
        <w:rPr>
          <w:rFonts w:asciiTheme="minorHAnsi" w:hAnsiTheme="minorHAnsi" w:cs="Arial"/>
          <w:sz w:val="24"/>
          <w:szCs w:val="24"/>
        </w:rPr>
        <w:t xml:space="preserve">: </w:t>
      </w:r>
      <w:r w:rsidR="00F405E4" w:rsidRPr="002B2821">
        <w:rPr>
          <w:rFonts w:asciiTheme="minorHAnsi" w:hAnsiTheme="minorHAnsi" w:cs="Arial"/>
          <w:sz w:val="24"/>
          <w:szCs w:val="24"/>
        </w:rPr>
        <w:t>4</w:t>
      </w:r>
      <w:r w:rsidRPr="002B2821">
        <w:rPr>
          <w:rFonts w:asciiTheme="minorHAnsi" w:hAnsiTheme="minorHAnsi" w:cs="Arial"/>
          <w:sz w:val="24"/>
          <w:szCs w:val="24"/>
        </w:rPr>
        <w:t>) paid more than £60,000</w:t>
      </w:r>
      <w:r w:rsidR="004B4ED6" w:rsidRPr="002B2821">
        <w:rPr>
          <w:rFonts w:asciiTheme="minorHAnsi" w:hAnsiTheme="minorHAnsi" w:cs="Arial"/>
          <w:sz w:val="24"/>
          <w:szCs w:val="24"/>
        </w:rPr>
        <w:t xml:space="preserve"> per annum</w:t>
      </w:r>
      <w:r w:rsidRPr="002B2821">
        <w:rPr>
          <w:rFonts w:asciiTheme="minorHAnsi" w:hAnsiTheme="minorHAnsi" w:cs="Arial"/>
          <w:sz w:val="24"/>
          <w:szCs w:val="24"/>
        </w:rPr>
        <w:t xml:space="preserve">. </w:t>
      </w:r>
    </w:p>
    <w:p w14:paraId="68F0C9DE" w14:textId="73B7ABF4" w:rsidR="00B1587C" w:rsidRPr="002B2821" w:rsidRDefault="00B1587C" w:rsidP="00E540A0">
      <w:pPr>
        <w:tabs>
          <w:tab w:val="left" w:pos="0"/>
          <w:tab w:val="left" w:pos="720"/>
          <w:tab w:val="left" w:pos="1440"/>
          <w:tab w:val="left" w:pos="4992"/>
          <w:tab w:val="decimal" w:pos="5845"/>
          <w:tab w:val="decimal" w:pos="7182"/>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 xml:space="preserve">No remuneration </w:t>
      </w:r>
      <w:r w:rsidR="00464A3B" w:rsidRPr="002B2821">
        <w:rPr>
          <w:rFonts w:asciiTheme="minorHAnsi" w:hAnsiTheme="minorHAnsi" w:cs="Arial"/>
          <w:spacing w:val="-3"/>
          <w:kern w:val="2"/>
          <w:sz w:val="24"/>
          <w:szCs w:val="24"/>
        </w:rPr>
        <w:t>was</w:t>
      </w:r>
      <w:r w:rsidRPr="002B2821">
        <w:rPr>
          <w:rFonts w:asciiTheme="minorHAnsi" w:hAnsiTheme="minorHAnsi" w:cs="Arial"/>
          <w:spacing w:val="-3"/>
          <w:kern w:val="2"/>
          <w:sz w:val="24"/>
          <w:szCs w:val="24"/>
        </w:rPr>
        <w:t xml:space="preserve"> paid to the </w:t>
      </w:r>
      <w:r w:rsidR="006C792A" w:rsidRPr="002B2821">
        <w:rPr>
          <w:rFonts w:asciiTheme="minorHAnsi" w:hAnsiTheme="minorHAnsi" w:cs="Arial"/>
          <w:spacing w:val="-3"/>
          <w:kern w:val="2"/>
          <w:sz w:val="24"/>
          <w:szCs w:val="24"/>
        </w:rPr>
        <w:t>t</w:t>
      </w:r>
      <w:r w:rsidRPr="002B2821">
        <w:rPr>
          <w:rFonts w:asciiTheme="minorHAnsi" w:hAnsiTheme="minorHAnsi" w:cs="Arial"/>
          <w:spacing w:val="-3"/>
          <w:kern w:val="2"/>
          <w:sz w:val="24"/>
          <w:szCs w:val="24"/>
        </w:rPr>
        <w:t>rustees</w:t>
      </w:r>
      <w:r w:rsidR="00E07C88" w:rsidRPr="002B2821">
        <w:rPr>
          <w:rFonts w:asciiTheme="minorHAnsi" w:hAnsiTheme="minorHAnsi" w:cs="Arial"/>
          <w:spacing w:val="-3"/>
          <w:kern w:val="2"/>
          <w:sz w:val="24"/>
          <w:szCs w:val="24"/>
        </w:rPr>
        <w:t xml:space="preserve"> of The Thalidomide Trust Company Ltd</w:t>
      </w:r>
      <w:r w:rsidR="00AA7C73" w:rsidRPr="002B2821">
        <w:rPr>
          <w:rFonts w:asciiTheme="minorHAnsi" w:hAnsiTheme="minorHAnsi" w:cs="Arial"/>
          <w:spacing w:val="-3"/>
          <w:kern w:val="2"/>
          <w:sz w:val="24"/>
          <w:szCs w:val="24"/>
        </w:rPr>
        <w:t xml:space="preserve"> (201</w:t>
      </w:r>
      <w:r w:rsidR="00F405E4" w:rsidRPr="002B2821">
        <w:rPr>
          <w:rFonts w:asciiTheme="minorHAnsi" w:hAnsiTheme="minorHAnsi" w:cs="Arial"/>
          <w:spacing w:val="-3"/>
          <w:kern w:val="2"/>
          <w:sz w:val="24"/>
          <w:szCs w:val="24"/>
        </w:rPr>
        <w:t>7</w:t>
      </w:r>
      <w:r w:rsidR="00AA7C73" w:rsidRPr="002B2821">
        <w:rPr>
          <w:rFonts w:asciiTheme="minorHAnsi" w:hAnsiTheme="minorHAnsi" w:cs="Arial"/>
          <w:spacing w:val="-3"/>
          <w:kern w:val="2"/>
          <w:sz w:val="24"/>
          <w:szCs w:val="24"/>
        </w:rPr>
        <w:t>:</w:t>
      </w:r>
      <w:r w:rsidR="00B51152" w:rsidRPr="002B2821">
        <w:rPr>
          <w:rFonts w:asciiTheme="minorHAnsi" w:hAnsiTheme="minorHAnsi" w:cs="Arial"/>
          <w:spacing w:val="-3"/>
          <w:kern w:val="2"/>
          <w:sz w:val="24"/>
          <w:szCs w:val="24"/>
        </w:rPr>
        <w:t xml:space="preserve"> </w:t>
      </w:r>
      <w:r w:rsidR="00EE78E4" w:rsidRPr="002B2821">
        <w:rPr>
          <w:rFonts w:asciiTheme="minorHAnsi" w:hAnsiTheme="minorHAnsi" w:cs="Arial"/>
          <w:spacing w:val="-3"/>
          <w:kern w:val="2"/>
          <w:sz w:val="24"/>
          <w:szCs w:val="24"/>
        </w:rPr>
        <w:t>£</w:t>
      </w:r>
      <w:r w:rsidR="00AA7C73" w:rsidRPr="002B2821">
        <w:rPr>
          <w:rFonts w:asciiTheme="minorHAnsi" w:hAnsiTheme="minorHAnsi" w:cs="Arial"/>
          <w:spacing w:val="-3"/>
          <w:kern w:val="2"/>
          <w:sz w:val="24"/>
          <w:szCs w:val="24"/>
        </w:rPr>
        <w:t>nil)</w:t>
      </w:r>
      <w:r w:rsidRPr="002B2821">
        <w:rPr>
          <w:rFonts w:asciiTheme="minorHAnsi" w:hAnsiTheme="minorHAnsi" w:cs="Arial"/>
          <w:spacing w:val="-3"/>
          <w:kern w:val="2"/>
          <w:sz w:val="24"/>
          <w:szCs w:val="24"/>
        </w:rPr>
        <w:t>.</w:t>
      </w:r>
      <w:r w:rsidR="00EB771D" w:rsidRPr="002B2821">
        <w:rPr>
          <w:rFonts w:asciiTheme="minorHAnsi" w:hAnsiTheme="minorHAnsi" w:cs="Arial"/>
          <w:spacing w:val="-3"/>
          <w:kern w:val="2"/>
          <w:sz w:val="24"/>
          <w:szCs w:val="24"/>
        </w:rPr>
        <w:t xml:space="preserve"> </w:t>
      </w:r>
      <w:r w:rsidRPr="002B2821">
        <w:rPr>
          <w:rFonts w:asciiTheme="minorHAnsi" w:hAnsiTheme="minorHAnsi" w:cs="Arial"/>
          <w:spacing w:val="-3"/>
          <w:kern w:val="2"/>
          <w:sz w:val="24"/>
          <w:szCs w:val="24"/>
        </w:rPr>
        <w:t xml:space="preserve">Travel </w:t>
      </w:r>
      <w:r w:rsidR="00B209C8" w:rsidRPr="002B2821">
        <w:rPr>
          <w:rFonts w:asciiTheme="minorHAnsi" w:hAnsiTheme="minorHAnsi" w:cs="Arial"/>
          <w:spacing w:val="-3"/>
          <w:kern w:val="2"/>
          <w:sz w:val="24"/>
          <w:szCs w:val="24"/>
        </w:rPr>
        <w:t xml:space="preserve">and subsistence </w:t>
      </w:r>
      <w:r w:rsidRPr="002B2821">
        <w:rPr>
          <w:rFonts w:asciiTheme="minorHAnsi" w:hAnsiTheme="minorHAnsi" w:cs="Arial"/>
          <w:spacing w:val="-3"/>
          <w:kern w:val="2"/>
          <w:sz w:val="24"/>
          <w:szCs w:val="24"/>
        </w:rPr>
        <w:t>expenses of £</w:t>
      </w:r>
      <w:r w:rsidR="00A26493" w:rsidRPr="002B2821">
        <w:rPr>
          <w:rFonts w:asciiTheme="minorHAnsi" w:hAnsiTheme="minorHAnsi" w:cs="Arial"/>
          <w:spacing w:val="-3"/>
          <w:kern w:val="2"/>
          <w:sz w:val="24"/>
          <w:szCs w:val="24"/>
        </w:rPr>
        <w:t>3,500</w:t>
      </w:r>
      <w:r w:rsidRPr="002B2821">
        <w:rPr>
          <w:rFonts w:asciiTheme="minorHAnsi" w:hAnsiTheme="minorHAnsi" w:cs="Arial"/>
          <w:spacing w:val="-3"/>
          <w:kern w:val="2"/>
          <w:sz w:val="24"/>
          <w:szCs w:val="24"/>
        </w:rPr>
        <w:t xml:space="preserve"> (201</w:t>
      </w:r>
      <w:r w:rsidR="00F405E4" w:rsidRPr="002B2821">
        <w:rPr>
          <w:rFonts w:asciiTheme="minorHAnsi" w:hAnsiTheme="minorHAnsi" w:cs="Arial"/>
          <w:spacing w:val="-3"/>
          <w:kern w:val="2"/>
          <w:sz w:val="24"/>
          <w:szCs w:val="24"/>
        </w:rPr>
        <w:t>7</w:t>
      </w:r>
      <w:r w:rsidRPr="002B2821">
        <w:rPr>
          <w:rFonts w:asciiTheme="minorHAnsi" w:hAnsiTheme="minorHAnsi" w:cs="Arial"/>
          <w:spacing w:val="-3"/>
          <w:kern w:val="2"/>
          <w:sz w:val="24"/>
          <w:szCs w:val="24"/>
        </w:rPr>
        <w:t>: £</w:t>
      </w:r>
      <w:r w:rsidR="00653262" w:rsidRPr="002B2821">
        <w:rPr>
          <w:rFonts w:asciiTheme="minorHAnsi" w:hAnsiTheme="minorHAnsi" w:cs="Arial"/>
          <w:spacing w:val="-3"/>
          <w:kern w:val="2"/>
          <w:sz w:val="24"/>
          <w:szCs w:val="24"/>
        </w:rPr>
        <w:t>4</w:t>
      </w:r>
      <w:r w:rsidR="002049A0" w:rsidRPr="002B2821">
        <w:rPr>
          <w:rFonts w:asciiTheme="minorHAnsi" w:hAnsiTheme="minorHAnsi" w:cs="Arial"/>
          <w:spacing w:val="-3"/>
          <w:kern w:val="2"/>
          <w:sz w:val="24"/>
          <w:szCs w:val="24"/>
        </w:rPr>
        <w:t>,</w:t>
      </w:r>
      <w:r w:rsidR="00F405E4" w:rsidRPr="002B2821">
        <w:rPr>
          <w:rFonts w:asciiTheme="minorHAnsi" w:hAnsiTheme="minorHAnsi" w:cs="Arial"/>
          <w:spacing w:val="-3"/>
          <w:kern w:val="2"/>
          <w:sz w:val="24"/>
          <w:szCs w:val="24"/>
        </w:rPr>
        <w:t>1</w:t>
      </w:r>
      <w:r w:rsidR="002049A0" w:rsidRPr="002B2821">
        <w:rPr>
          <w:rFonts w:asciiTheme="minorHAnsi" w:hAnsiTheme="minorHAnsi" w:cs="Arial"/>
          <w:spacing w:val="-3"/>
          <w:kern w:val="2"/>
          <w:sz w:val="24"/>
          <w:szCs w:val="24"/>
        </w:rPr>
        <w:t>00</w:t>
      </w:r>
      <w:r w:rsidRPr="002B2821">
        <w:rPr>
          <w:rFonts w:asciiTheme="minorHAnsi" w:hAnsiTheme="minorHAnsi" w:cs="Arial"/>
          <w:spacing w:val="-3"/>
          <w:kern w:val="2"/>
          <w:sz w:val="24"/>
          <w:szCs w:val="24"/>
        </w:rPr>
        <w:t xml:space="preserve">) were reimbursed to </w:t>
      </w:r>
      <w:r w:rsidR="00A26493" w:rsidRPr="002B2821">
        <w:rPr>
          <w:rFonts w:asciiTheme="minorHAnsi" w:hAnsiTheme="minorHAnsi" w:cs="Arial"/>
          <w:spacing w:val="-3"/>
          <w:kern w:val="2"/>
          <w:sz w:val="24"/>
          <w:szCs w:val="24"/>
        </w:rPr>
        <w:t>6</w:t>
      </w:r>
      <w:r w:rsidRPr="002B2821">
        <w:rPr>
          <w:rFonts w:asciiTheme="minorHAnsi" w:hAnsiTheme="minorHAnsi" w:cs="Arial"/>
          <w:spacing w:val="-3"/>
          <w:kern w:val="2"/>
          <w:sz w:val="24"/>
          <w:szCs w:val="24"/>
        </w:rPr>
        <w:t xml:space="preserve"> (201</w:t>
      </w:r>
      <w:r w:rsidR="00F405E4" w:rsidRPr="002B2821">
        <w:rPr>
          <w:rFonts w:asciiTheme="minorHAnsi" w:hAnsiTheme="minorHAnsi" w:cs="Arial"/>
          <w:spacing w:val="-3"/>
          <w:kern w:val="2"/>
          <w:sz w:val="24"/>
          <w:szCs w:val="24"/>
        </w:rPr>
        <w:t>7</w:t>
      </w:r>
      <w:r w:rsidRPr="002B2821">
        <w:rPr>
          <w:rFonts w:asciiTheme="minorHAnsi" w:hAnsiTheme="minorHAnsi" w:cs="Arial"/>
          <w:spacing w:val="-3"/>
          <w:kern w:val="2"/>
          <w:sz w:val="24"/>
          <w:szCs w:val="24"/>
        </w:rPr>
        <w:t xml:space="preserve">: </w:t>
      </w:r>
      <w:r w:rsidR="00F405E4" w:rsidRPr="002B2821">
        <w:rPr>
          <w:rFonts w:asciiTheme="minorHAnsi" w:hAnsiTheme="minorHAnsi" w:cs="Arial"/>
          <w:spacing w:val="-3"/>
          <w:kern w:val="2"/>
          <w:sz w:val="24"/>
          <w:szCs w:val="24"/>
        </w:rPr>
        <w:t>5</w:t>
      </w:r>
      <w:r w:rsidRPr="002B2821">
        <w:rPr>
          <w:rFonts w:asciiTheme="minorHAnsi" w:hAnsiTheme="minorHAnsi" w:cs="Arial"/>
          <w:spacing w:val="-3"/>
          <w:kern w:val="2"/>
          <w:sz w:val="24"/>
          <w:szCs w:val="24"/>
        </w:rPr>
        <w:t xml:space="preserve">) </w:t>
      </w:r>
      <w:r w:rsidR="006C792A" w:rsidRPr="002B2821">
        <w:rPr>
          <w:rFonts w:asciiTheme="minorHAnsi" w:hAnsiTheme="minorHAnsi" w:cs="Arial"/>
          <w:spacing w:val="-3"/>
          <w:kern w:val="2"/>
          <w:sz w:val="24"/>
          <w:szCs w:val="24"/>
        </w:rPr>
        <w:t>t</w:t>
      </w:r>
      <w:r w:rsidRPr="002B2821">
        <w:rPr>
          <w:rFonts w:asciiTheme="minorHAnsi" w:hAnsiTheme="minorHAnsi" w:cs="Arial"/>
          <w:spacing w:val="-3"/>
          <w:kern w:val="2"/>
          <w:sz w:val="24"/>
          <w:szCs w:val="24"/>
        </w:rPr>
        <w:t>rustees</w:t>
      </w:r>
      <w:r w:rsidR="00E07C88" w:rsidRPr="002B2821">
        <w:rPr>
          <w:rFonts w:asciiTheme="minorHAnsi" w:hAnsiTheme="minorHAnsi" w:cs="Arial"/>
          <w:spacing w:val="-3"/>
          <w:kern w:val="2"/>
          <w:sz w:val="24"/>
          <w:szCs w:val="24"/>
        </w:rPr>
        <w:t>/directors of The Thalidomide Trust Company Ltd</w:t>
      </w:r>
      <w:r w:rsidRPr="002B2821">
        <w:rPr>
          <w:rFonts w:asciiTheme="minorHAnsi" w:hAnsiTheme="minorHAnsi" w:cs="Arial"/>
          <w:spacing w:val="-3"/>
          <w:kern w:val="2"/>
          <w:sz w:val="24"/>
          <w:szCs w:val="24"/>
        </w:rPr>
        <w:t xml:space="preserve"> during the </w:t>
      </w:r>
      <w:r w:rsidR="00116304" w:rsidRPr="002B2821">
        <w:rPr>
          <w:rFonts w:asciiTheme="minorHAnsi" w:hAnsiTheme="minorHAnsi" w:cs="Arial"/>
          <w:spacing w:val="-3"/>
          <w:kern w:val="2"/>
          <w:sz w:val="24"/>
          <w:szCs w:val="24"/>
        </w:rPr>
        <w:t>year</w:t>
      </w:r>
      <w:r w:rsidRPr="002B2821">
        <w:rPr>
          <w:rFonts w:asciiTheme="minorHAnsi" w:hAnsiTheme="minorHAnsi" w:cs="Arial"/>
          <w:spacing w:val="-3"/>
          <w:kern w:val="2"/>
          <w:sz w:val="24"/>
          <w:szCs w:val="24"/>
        </w:rPr>
        <w:t>.</w:t>
      </w:r>
    </w:p>
    <w:p w14:paraId="787D43B4" w14:textId="559D36B2" w:rsidR="00843CE2" w:rsidRPr="002B2821" w:rsidRDefault="00963240" w:rsidP="00E540A0">
      <w:pPr>
        <w:tabs>
          <w:tab w:val="left" w:pos="0"/>
          <w:tab w:val="left" w:pos="720"/>
          <w:tab w:val="left" w:pos="1440"/>
          <w:tab w:val="left" w:pos="4992"/>
          <w:tab w:val="decimal" w:pos="5845"/>
          <w:tab w:val="decimal" w:pos="7182"/>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 xml:space="preserve">The total remuneration and benefits received by the Trust’s </w:t>
      </w:r>
      <w:r w:rsidR="008146A5" w:rsidRPr="002B2821">
        <w:rPr>
          <w:rFonts w:asciiTheme="minorHAnsi" w:hAnsiTheme="minorHAnsi" w:cs="Arial"/>
          <w:spacing w:val="-3"/>
          <w:kern w:val="2"/>
          <w:sz w:val="24"/>
          <w:szCs w:val="24"/>
        </w:rPr>
        <w:t>k</w:t>
      </w:r>
      <w:r w:rsidRPr="002B2821">
        <w:rPr>
          <w:rFonts w:asciiTheme="minorHAnsi" w:hAnsiTheme="minorHAnsi" w:cs="Arial"/>
          <w:spacing w:val="-3"/>
          <w:kern w:val="2"/>
          <w:sz w:val="24"/>
          <w:szCs w:val="24"/>
        </w:rPr>
        <w:t>ey management personnel was £</w:t>
      </w:r>
      <w:r w:rsidR="00985CAC" w:rsidRPr="002B2821">
        <w:rPr>
          <w:rFonts w:asciiTheme="minorHAnsi" w:hAnsiTheme="minorHAnsi" w:cs="Arial"/>
          <w:spacing w:val="-3"/>
          <w:kern w:val="2"/>
          <w:sz w:val="24"/>
          <w:szCs w:val="24"/>
        </w:rPr>
        <w:t>2</w:t>
      </w:r>
      <w:r w:rsidR="00F405E4" w:rsidRPr="002B2821">
        <w:rPr>
          <w:rFonts w:asciiTheme="minorHAnsi" w:hAnsiTheme="minorHAnsi" w:cs="Arial"/>
          <w:spacing w:val="-3"/>
          <w:kern w:val="2"/>
          <w:sz w:val="24"/>
          <w:szCs w:val="24"/>
        </w:rPr>
        <w:t>51</w:t>
      </w:r>
      <w:r w:rsidRPr="002B2821">
        <w:rPr>
          <w:rFonts w:asciiTheme="minorHAnsi" w:hAnsiTheme="minorHAnsi" w:cs="Arial"/>
          <w:spacing w:val="-3"/>
          <w:kern w:val="2"/>
          <w:sz w:val="24"/>
          <w:szCs w:val="24"/>
        </w:rPr>
        <w:t>,000</w:t>
      </w:r>
      <w:r w:rsidR="00843CE2" w:rsidRPr="002B2821">
        <w:rPr>
          <w:rFonts w:asciiTheme="minorHAnsi" w:hAnsiTheme="minorHAnsi" w:cs="Arial"/>
          <w:spacing w:val="-3"/>
          <w:kern w:val="2"/>
          <w:sz w:val="24"/>
          <w:szCs w:val="24"/>
        </w:rPr>
        <w:t xml:space="preserve"> (201</w:t>
      </w:r>
      <w:r w:rsidR="00F405E4" w:rsidRPr="002B2821">
        <w:rPr>
          <w:rFonts w:asciiTheme="minorHAnsi" w:hAnsiTheme="minorHAnsi" w:cs="Arial"/>
          <w:spacing w:val="-3"/>
          <w:kern w:val="2"/>
          <w:sz w:val="24"/>
          <w:szCs w:val="24"/>
        </w:rPr>
        <w:t>7</w:t>
      </w:r>
      <w:r w:rsidR="00843CE2" w:rsidRPr="002B2821">
        <w:rPr>
          <w:rFonts w:asciiTheme="minorHAnsi" w:hAnsiTheme="minorHAnsi" w:cs="Arial"/>
          <w:spacing w:val="-3"/>
          <w:kern w:val="2"/>
          <w:sz w:val="24"/>
          <w:szCs w:val="24"/>
        </w:rPr>
        <w:t xml:space="preserve">: </w:t>
      </w:r>
      <w:r w:rsidR="008146A5" w:rsidRPr="002B2821">
        <w:rPr>
          <w:rFonts w:asciiTheme="minorHAnsi" w:hAnsiTheme="minorHAnsi" w:cs="Arial"/>
          <w:spacing w:val="-3"/>
          <w:kern w:val="2"/>
          <w:sz w:val="24"/>
          <w:szCs w:val="24"/>
        </w:rPr>
        <w:t>£</w:t>
      </w:r>
      <w:r w:rsidR="00653262" w:rsidRPr="002B2821">
        <w:rPr>
          <w:rFonts w:asciiTheme="minorHAnsi" w:hAnsiTheme="minorHAnsi" w:cs="Arial"/>
          <w:spacing w:val="-3"/>
          <w:kern w:val="2"/>
          <w:sz w:val="24"/>
          <w:szCs w:val="24"/>
        </w:rPr>
        <w:t>2</w:t>
      </w:r>
      <w:r w:rsidR="00F405E4" w:rsidRPr="002B2821">
        <w:rPr>
          <w:rFonts w:asciiTheme="minorHAnsi" w:hAnsiTheme="minorHAnsi" w:cs="Arial"/>
          <w:spacing w:val="-3"/>
          <w:kern w:val="2"/>
          <w:sz w:val="24"/>
          <w:szCs w:val="24"/>
        </w:rPr>
        <w:t>37</w:t>
      </w:r>
      <w:r w:rsidR="008146A5" w:rsidRPr="002B2821">
        <w:rPr>
          <w:rFonts w:asciiTheme="minorHAnsi" w:hAnsiTheme="minorHAnsi" w:cs="Arial"/>
          <w:spacing w:val="-3"/>
          <w:kern w:val="2"/>
          <w:sz w:val="24"/>
          <w:szCs w:val="24"/>
        </w:rPr>
        <w:t>,000</w:t>
      </w:r>
      <w:r w:rsidR="00843CE2" w:rsidRPr="002B2821">
        <w:rPr>
          <w:rFonts w:asciiTheme="minorHAnsi" w:hAnsiTheme="minorHAnsi" w:cs="Arial"/>
          <w:spacing w:val="-3"/>
          <w:kern w:val="2"/>
          <w:sz w:val="24"/>
          <w:szCs w:val="24"/>
        </w:rPr>
        <w:t>)</w:t>
      </w:r>
      <w:r w:rsidR="008146A5" w:rsidRPr="002B2821">
        <w:rPr>
          <w:rFonts w:asciiTheme="minorHAnsi" w:hAnsiTheme="minorHAnsi" w:cs="Arial"/>
          <w:spacing w:val="-3"/>
          <w:kern w:val="2"/>
          <w:sz w:val="24"/>
          <w:szCs w:val="24"/>
        </w:rPr>
        <w:t xml:space="preserve"> for 3 employees (201</w:t>
      </w:r>
      <w:r w:rsidR="00F405E4" w:rsidRPr="002B2821">
        <w:rPr>
          <w:rFonts w:asciiTheme="minorHAnsi" w:hAnsiTheme="minorHAnsi" w:cs="Arial"/>
          <w:spacing w:val="-3"/>
          <w:kern w:val="2"/>
          <w:sz w:val="24"/>
          <w:szCs w:val="24"/>
        </w:rPr>
        <w:t>7</w:t>
      </w:r>
      <w:r w:rsidR="008146A5" w:rsidRPr="002B2821">
        <w:rPr>
          <w:rFonts w:asciiTheme="minorHAnsi" w:hAnsiTheme="minorHAnsi" w:cs="Arial"/>
          <w:spacing w:val="-3"/>
          <w:kern w:val="2"/>
          <w:sz w:val="24"/>
          <w:szCs w:val="24"/>
        </w:rPr>
        <w:t>:</w:t>
      </w:r>
      <w:r w:rsidR="000E1077">
        <w:rPr>
          <w:rFonts w:asciiTheme="minorHAnsi" w:hAnsiTheme="minorHAnsi" w:cs="Arial"/>
          <w:spacing w:val="-3"/>
          <w:kern w:val="2"/>
          <w:sz w:val="24"/>
          <w:szCs w:val="24"/>
        </w:rPr>
        <w:t xml:space="preserve"> </w:t>
      </w:r>
      <w:r w:rsidR="00653262" w:rsidRPr="002B2821">
        <w:rPr>
          <w:rFonts w:asciiTheme="minorHAnsi" w:hAnsiTheme="minorHAnsi" w:cs="Arial"/>
          <w:spacing w:val="-3"/>
          <w:kern w:val="2"/>
          <w:sz w:val="24"/>
          <w:szCs w:val="24"/>
        </w:rPr>
        <w:t>3</w:t>
      </w:r>
      <w:r w:rsidR="008146A5" w:rsidRPr="002B2821">
        <w:rPr>
          <w:rFonts w:asciiTheme="minorHAnsi" w:hAnsiTheme="minorHAnsi" w:cs="Arial"/>
          <w:spacing w:val="-3"/>
          <w:kern w:val="2"/>
          <w:sz w:val="24"/>
          <w:szCs w:val="24"/>
        </w:rPr>
        <w:t>)</w:t>
      </w:r>
      <w:r w:rsidR="00843CE2" w:rsidRPr="002B2821">
        <w:rPr>
          <w:rFonts w:asciiTheme="minorHAnsi" w:hAnsiTheme="minorHAnsi" w:cs="Arial"/>
          <w:spacing w:val="-3"/>
          <w:kern w:val="2"/>
          <w:sz w:val="24"/>
          <w:szCs w:val="24"/>
        </w:rPr>
        <w:t xml:space="preserve">. </w:t>
      </w:r>
    </w:p>
    <w:p w14:paraId="789B4C78" w14:textId="77777777" w:rsidR="008D56B3" w:rsidRPr="002B2821" w:rsidRDefault="008D56B3" w:rsidP="008D56B3">
      <w:pPr>
        <w:pStyle w:val="BodyText"/>
        <w:spacing w:after="0" w:line="240" w:lineRule="auto"/>
        <w:rPr>
          <w:rFonts w:asciiTheme="minorHAnsi" w:hAnsiTheme="minorHAnsi" w:cs="Arial"/>
          <w:b/>
          <w:color w:val="0000FF"/>
          <w:sz w:val="24"/>
          <w:szCs w:val="24"/>
        </w:rPr>
      </w:pPr>
    </w:p>
    <w:p w14:paraId="684F5CC1" w14:textId="77777777" w:rsidR="00E72D30" w:rsidRDefault="00E72D30" w:rsidP="008D56B3">
      <w:pPr>
        <w:pStyle w:val="BodyText"/>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7AF74C81" w14:textId="0559FD19" w:rsidR="008D56B3" w:rsidRPr="002B2821" w:rsidRDefault="008D56B3" w:rsidP="00D94BB1">
      <w:pPr>
        <w:pStyle w:val="BodyText"/>
        <w:spacing w:after="24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F405E4"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7C3EE61F" w14:textId="77777777" w:rsidR="00B1587C" w:rsidRPr="002B2821" w:rsidRDefault="00B1587C" w:rsidP="00E540A0">
      <w:pPr>
        <w:pStyle w:val="BodyText"/>
        <w:spacing w:after="18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8   Tangible assets</w:t>
      </w:r>
    </w:p>
    <w:p w14:paraId="140F3DCF" w14:textId="77777777" w:rsidR="00B1587C" w:rsidRPr="002B2821" w:rsidRDefault="00B1587C" w:rsidP="00E540A0">
      <w:pPr>
        <w:tabs>
          <w:tab w:val="left" w:pos="0"/>
          <w:tab w:val="left" w:pos="720"/>
          <w:tab w:val="left" w:pos="1440"/>
          <w:tab w:val="left" w:pos="4992"/>
          <w:tab w:val="decimal" w:pos="5845"/>
          <w:tab w:val="decimal" w:pos="7182"/>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Tangible assets comprise the following:</w:t>
      </w:r>
    </w:p>
    <w:tbl>
      <w:tblPr>
        <w:tblW w:w="8559" w:type="dxa"/>
        <w:tblLook w:val="04A0" w:firstRow="1" w:lastRow="0" w:firstColumn="1" w:lastColumn="0" w:noHBand="0" w:noVBand="1"/>
      </w:tblPr>
      <w:tblGrid>
        <w:gridCol w:w="1145"/>
        <w:gridCol w:w="816"/>
        <w:gridCol w:w="896"/>
        <w:gridCol w:w="1043"/>
        <w:gridCol w:w="271"/>
        <w:gridCol w:w="1416"/>
        <w:gridCol w:w="271"/>
        <w:gridCol w:w="1028"/>
        <w:gridCol w:w="296"/>
        <w:gridCol w:w="996"/>
        <w:gridCol w:w="416"/>
      </w:tblGrid>
      <w:tr w:rsidR="00C07CD4" w:rsidRPr="002B2821" w14:paraId="6936C619" w14:textId="77777777" w:rsidTr="00C07CD4">
        <w:trPr>
          <w:trHeight w:val="255"/>
        </w:trPr>
        <w:tc>
          <w:tcPr>
            <w:tcW w:w="1145" w:type="dxa"/>
            <w:tcBorders>
              <w:top w:val="nil"/>
              <w:left w:val="nil"/>
              <w:bottom w:val="nil"/>
              <w:right w:val="nil"/>
            </w:tcBorders>
            <w:shd w:val="clear" w:color="auto" w:fill="auto"/>
            <w:noWrap/>
            <w:vAlign w:val="bottom"/>
            <w:hideMark/>
          </w:tcPr>
          <w:p w14:paraId="6730391C" w14:textId="77777777" w:rsidR="00C07CD4" w:rsidRPr="002B2821" w:rsidRDefault="00C07CD4" w:rsidP="00C07CD4">
            <w:pPr>
              <w:spacing w:after="0" w:line="240" w:lineRule="auto"/>
              <w:rPr>
                <w:sz w:val="24"/>
                <w:szCs w:val="24"/>
                <w:lang w:eastAsia="en-GB"/>
              </w:rPr>
            </w:pPr>
          </w:p>
        </w:tc>
        <w:tc>
          <w:tcPr>
            <w:tcW w:w="816" w:type="dxa"/>
            <w:tcBorders>
              <w:top w:val="nil"/>
              <w:left w:val="nil"/>
              <w:bottom w:val="nil"/>
              <w:right w:val="nil"/>
            </w:tcBorders>
            <w:shd w:val="clear" w:color="auto" w:fill="auto"/>
            <w:noWrap/>
            <w:vAlign w:val="bottom"/>
            <w:hideMark/>
          </w:tcPr>
          <w:p w14:paraId="400BCBBA" w14:textId="77777777" w:rsidR="00C07CD4" w:rsidRPr="002B2821" w:rsidRDefault="00C07CD4" w:rsidP="00C07CD4">
            <w:pPr>
              <w:spacing w:after="0" w:line="240" w:lineRule="auto"/>
              <w:rPr>
                <w:lang w:eastAsia="en-GB"/>
              </w:rPr>
            </w:pPr>
          </w:p>
        </w:tc>
        <w:tc>
          <w:tcPr>
            <w:tcW w:w="896" w:type="dxa"/>
            <w:tcBorders>
              <w:top w:val="nil"/>
              <w:left w:val="nil"/>
              <w:bottom w:val="nil"/>
              <w:right w:val="nil"/>
            </w:tcBorders>
            <w:shd w:val="clear" w:color="auto" w:fill="auto"/>
            <w:noWrap/>
            <w:vAlign w:val="bottom"/>
            <w:hideMark/>
          </w:tcPr>
          <w:p w14:paraId="1F936F45"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76207597"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Motor</w:t>
            </w:r>
          </w:p>
        </w:tc>
        <w:tc>
          <w:tcPr>
            <w:tcW w:w="236" w:type="dxa"/>
            <w:tcBorders>
              <w:top w:val="nil"/>
              <w:left w:val="nil"/>
              <w:bottom w:val="nil"/>
              <w:right w:val="nil"/>
            </w:tcBorders>
            <w:shd w:val="clear" w:color="auto" w:fill="auto"/>
            <w:noWrap/>
            <w:vAlign w:val="bottom"/>
            <w:hideMark/>
          </w:tcPr>
          <w:p w14:paraId="564C25A7"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416" w:type="dxa"/>
            <w:tcBorders>
              <w:top w:val="nil"/>
              <w:left w:val="nil"/>
              <w:bottom w:val="nil"/>
              <w:right w:val="nil"/>
            </w:tcBorders>
            <w:shd w:val="clear" w:color="auto" w:fill="auto"/>
            <w:noWrap/>
            <w:vAlign w:val="bottom"/>
            <w:hideMark/>
          </w:tcPr>
          <w:p w14:paraId="424D64FD" w14:textId="620A47ED"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Furniture &amp;</w:t>
            </w:r>
          </w:p>
        </w:tc>
        <w:tc>
          <w:tcPr>
            <w:tcW w:w="271" w:type="dxa"/>
            <w:tcBorders>
              <w:top w:val="nil"/>
              <w:left w:val="nil"/>
              <w:bottom w:val="nil"/>
              <w:right w:val="nil"/>
            </w:tcBorders>
            <w:shd w:val="clear" w:color="auto" w:fill="auto"/>
            <w:noWrap/>
            <w:vAlign w:val="bottom"/>
            <w:hideMark/>
          </w:tcPr>
          <w:p w14:paraId="2E281846"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028" w:type="dxa"/>
            <w:tcBorders>
              <w:top w:val="nil"/>
              <w:left w:val="nil"/>
              <w:bottom w:val="nil"/>
              <w:right w:val="nil"/>
            </w:tcBorders>
            <w:shd w:val="clear" w:color="auto" w:fill="auto"/>
            <w:noWrap/>
            <w:vAlign w:val="bottom"/>
            <w:hideMark/>
          </w:tcPr>
          <w:p w14:paraId="53381184"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Building</w:t>
            </w:r>
          </w:p>
        </w:tc>
        <w:tc>
          <w:tcPr>
            <w:tcW w:w="296" w:type="dxa"/>
            <w:tcBorders>
              <w:top w:val="nil"/>
              <w:left w:val="nil"/>
              <w:bottom w:val="nil"/>
              <w:right w:val="nil"/>
            </w:tcBorders>
            <w:shd w:val="clear" w:color="auto" w:fill="auto"/>
            <w:noWrap/>
            <w:vAlign w:val="bottom"/>
            <w:hideMark/>
          </w:tcPr>
          <w:p w14:paraId="2904D7DC"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996" w:type="dxa"/>
            <w:tcBorders>
              <w:top w:val="nil"/>
              <w:left w:val="nil"/>
              <w:bottom w:val="nil"/>
              <w:right w:val="nil"/>
            </w:tcBorders>
            <w:shd w:val="clear" w:color="auto" w:fill="auto"/>
            <w:noWrap/>
            <w:vAlign w:val="bottom"/>
            <w:hideMark/>
          </w:tcPr>
          <w:p w14:paraId="39D9E3C5"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w:t>
            </w:r>
          </w:p>
        </w:tc>
        <w:tc>
          <w:tcPr>
            <w:tcW w:w="416" w:type="dxa"/>
            <w:tcBorders>
              <w:top w:val="nil"/>
              <w:left w:val="nil"/>
              <w:bottom w:val="nil"/>
              <w:right w:val="nil"/>
            </w:tcBorders>
            <w:shd w:val="clear" w:color="auto" w:fill="auto"/>
            <w:noWrap/>
            <w:vAlign w:val="bottom"/>
            <w:hideMark/>
          </w:tcPr>
          <w:p w14:paraId="7703D607"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r>
      <w:tr w:rsidR="00C07CD4" w:rsidRPr="002B2821" w14:paraId="558D327E" w14:textId="77777777" w:rsidTr="00C07CD4">
        <w:trPr>
          <w:trHeight w:val="255"/>
        </w:trPr>
        <w:tc>
          <w:tcPr>
            <w:tcW w:w="1145" w:type="dxa"/>
            <w:tcBorders>
              <w:top w:val="nil"/>
              <w:left w:val="nil"/>
              <w:bottom w:val="nil"/>
              <w:right w:val="nil"/>
            </w:tcBorders>
            <w:shd w:val="clear" w:color="auto" w:fill="auto"/>
            <w:noWrap/>
            <w:vAlign w:val="bottom"/>
            <w:hideMark/>
          </w:tcPr>
          <w:p w14:paraId="755A9B26" w14:textId="77777777" w:rsidR="00C07CD4" w:rsidRPr="002B2821" w:rsidRDefault="00C07CD4" w:rsidP="00C07CD4">
            <w:pPr>
              <w:spacing w:after="0" w:line="240" w:lineRule="auto"/>
              <w:rPr>
                <w:lang w:eastAsia="en-GB"/>
              </w:rPr>
            </w:pPr>
          </w:p>
        </w:tc>
        <w:tc>
          <w:tcPr>
            <w:tcW w:w="816" w:type="dxa"/>
            <w:tcBorders>
              <w:top w:val="nil"/>
              <w:left w:val="nil"/>
              <w:bottom w:val="nil"/>
              <w:right w:val="nil"/>
            </w:tcBorders>
            <w:shd w:val="clear" w:color="auto" w:fill="auto"/>
            <w:noWrap/>
            <w:vAlign w:val="bottom"/>
            <w:hideMark/>
          </w:tcPr>
          <w:p w14:paraId="2FFEFA7D" w14:textId="77777777" w:rsidR="00C07CD4" w:rsidRPr="002B2821" w:rsidRDefault="00C07CD4" w:rsidP="00C07CD4">
            <w:pPr>
              <w:spacing w:after="0" w:line="240" w:lineRule="auto"/>
              <w:rPr>
                <w:lang w:eastAsia="en-GB"/>
              </w:rPr>
            </w:pPr>
          </w:p>
        </w:tc>
        <w:tc>
          <w:tcPr>
            <w:tcW w:w="896" w:type="dxa"/>
            <w:tcBorders>
              <w:top w:val="nil"/>
              <w:left w:val="nil"/>
              <w:bottom w:val="nil"/>
              <w:right w:val="nil"/>
            </w:tcBorders>
            <w:shd w:val="clear" w:color="auto" w:fill="auto"/>
            <w:noWrap/>
            <w:vAlign w:val="bottom"/>
            <w:hideMark/>
          </w:tcPr>
          <w:p w14:paraId="63DC66A6"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195AD4F6"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Vehicles</w:t>
            </w:r>
          </w:p>
        </w:tc>
        <w:tc>
          <w:tcPr>
            <w:tcW w:w="236" w:type="dxa"/>
            <w:tcBorders>
              <w:top w:val="nil"/>
              <w:left w:val="nil"/>
              <w:bottom w:val="nil"/>
              <w:right w:val="nil"/>
            </w:tcBorders>
            <w:shd w:val="clear" w:color="auto" w:fill="auto"/>
            <w:noWrap/>
            <w:vAlign w:val="bottom"/>
            <w:hideMark/>
          </w:tcPr>
          <w:p w14:paraId="4CA88F00"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416" w:type="dxa"/>
            <w:tcBorders>
              <w:top w:val="nil"/>
              <w:left w:val="nil"/>
              <w:bottom w:val="nil"/>
              <w:right w:val="nil"/>
            </w:tcBorders>
            <w:shd w:val="clear" w:color="auto" w:fill="auto"/>
            <w:noWrap/>
            <w:vAlign w:val="bottom"/>
            <w:hideMark/>
          </w:tcPr>
          <w:p w14:paraId="7982BE3A"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equipment</w:t>
            </w:r>
          </w:p>
        </w:tc>
        <w:tc>
          <w:tcPr>
            <w:tcW w:w="271" w:type="dxa"/>
            <w:tcBorders>
              <w:top w:val="nil"/>
              <w:left w:val="nil"/>
              <w:bottom w:val="nil"/>
              <w:right w:val="nil"/>
            </w:tcBorders>
            <w:shd w:val="clear" w:color="auto" w:fill="auto"/>
            <w:noWrap/>
            <w:vAlign w:val="bottom"/>
            <w:hideMark/>
          </w:tcPr>
          <w:p w14:paraId="27C89EFF"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028" w:type="dxa"/>
            <w:tcBorders>
              <w:top w:val="nil"/>
              <w:left w:val="nil"/>
              <w:bottom w:val="nil"/>
              <w:right w:val="nil"/>
            </w:tcBorders>
            <w:shd w:val="clear" w:color="auto" w:fill="auto"/>
            <w:noWrap/>
            <w:vAlign w:val="bottom"/>
            <w:hideMark/>
          </w:tcPr>
          <w:p w14:paraId="56887414" w14:textId="77777777" w:rsidR="00C07CD4" w:rsidRPr="002B2821" w:rsidRDefault="00C07CD4" w:rsidP="00C07CD4">
            <w:pPr>
              <w:spacing w:after="0" w:line="240" w:lineRule="auto"/>
              <w:jc w:val="center"/>
              <w:rPr>
                <w:lang w:eastAsia="en-GB"/>
              </w:rPr>
            </w:pPr>
          </w:p>
        </w:tc>
        <w:tc>
          <w:tcPr>
            <w:tcW w:w="296" w:type="dxa"/>
            <w:tcBorders>
              <w:top w:val="nil"/>
              <w:left w:val="nil"/>
              <w:bottom w:val="nil"/>
              <w:right w:val="nil"/>
            </w:tcBorders>
            <w:shd w:val="clear" w:color="auto" w:fill="auto"/>
            <w:noWrap/>
            <w:vAlign w:val="bottom"/>
            <w:hideMark/>
          </w:tcPr>
          <w:p w14:paraId="4BD9FC21"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04AA682A" w14:textId="77777777" w:rsidR="00C07CD4" w:rsidRPr="002B2821" w:rsidRDefault="00C07CD4" w:rsidP="00C07CD4">
            <w:pPr>
              <w:spacing w:after="0" w:line="240" w:lineRule="auto"/>
              <w:jc w:val="center"/>
              <w:rPr>
                <w:lang w:eastAsia="en-GB"/>
              </w:rPr>
            </w:pPr>
          </w:p>
        </w:tc>
        <w:tc>
          <w:tcPr>
            <w:tcW w:w="416" w:type="dxa"/>
            <w:tcBorders>
              <w:top w:val="nil"/>
              <w:left w:val="nil"/>
              <w:bottom w:val="nil"/>
              <w:right w:val="nil"/>
            </w:tcBorders>
            <w:shd w:val="clear" w:color="auto" w:fill="auto"/>
            <w:noWrap/>
            <w:vAlign w:val="bottom"/>
            <w:hideMark/>
          </w:tcPr>
          <w:p w14:paraId="186AD57F" w14:textId="77777777" w:rsidR="00C07CD4" w:rsidRPr="002B2821" w:rsidRDefault="00C07CD4" w:rsidP="00C07CD4">
            <w:pPr>
              <w:spacing w:after="0" w:line="240" w:lineRule="auto"/>
              <w:jc w:val="center"/>
              <w:rPr>
                <w:lang w:eastAsia="en-GB"/>
              </w:rPr>
            </w:pPr>
          </w:p>
        </w:tc>
      </w:tr>
      <w:tr w:rsidR="00C07CD4" w:rsidRPr="002B2821" w14:paraId="0E6D01BB" w14:textId="77777777" w:rsidTr="00C07CD4">
        <w:trPr>
          <w:trHeight w:val="255"/>
        </w:trPr>
        <w:tc>
          <w:tcPr>
            <w:tcW w:w="1145" w:type="dxa"/>
            <w:tcBorders>
              <w:top w:val="nil"/>
              <w:left w:val="nil"/>
              <w:bottom w:val="nil"/>
              <w:right w:val="nil"/>
            </w:tcBorders>
            <w:shd w:val="clear" w:color="auto" w:fill="auto"/>
            <w:noWrap/>
            <w:vAlign w:val="bottom"/>
            <w:hideMark/>
          </w:tcPr>
          <w:p w14:paraId="24D6DEF2" w14:textId="77777777" w:rsidR="00C07CD4" w:rsidRPr="002B2821" w:rsidRDefault="00C07CD4" w:rsidP="00C07CD4">
            <w:pPr>
              <w:spacing w:after="0" w:line="240" w:lineRule="auto"/>
              <w:rPr>
                <w:lang w:eastAsia="en-GB"/>
              </w:rPr>
            </w:pPr>
          </w:p>
        </w:tc>
        <w:tc>
          <w:tcPr>
            <w:tcW w:w="816" w:type="dxa"/>
            <w:tcBorders>
              <w:top w:val="nil"/>
              <w:left w:val="nil"/>
              <w:bottom w:val="nil"/>
              <w:right w:val="nil"/>
            </w:tcBorders>
            <w:shd w:val="clear" w:color="auto" w:fill="auto"/>
            <w:noWrap/>
            <w:vAlign w:val="bottom"/>
            <w:hideMark/>
          </w:tcPr>
          <w:p w14:paraId="6233B537" w14:textId="77777777" w:rsidR="00C07CD4" w:rsidRPr="002B2821" w:rsidRDefault="00C07CD4" w:rsidP="00C07CD4">
            <w:pPr>
              <w:spacing w:after="0" w:line="240" w:lineRule="auto"/>
              <w:rPr>
                <w:lang w:eastAsia="en-GB"/>
              </w:rPr>
            </w:pPr>
          </w:p>
        </w:tc>
        <w:tc>
          <w:tcPr>
            <w:tcW w:w="896" w:type="dxa"/>
            <w:tcBorders>
              <w:top w:val="nil"/>
              <w:left w:val="nil"/>
              <w:bottom w:val="nil"/>
              <w:right w:val="nil"/>
            </w:tcBorders>
            <w:shd w:val="clear" w:color="auto" w:fill="auto"/>
            <w:noWrap/>
            <w:vAlign w:val="bottom"/>
            <w:hideMark/>
          </w:tcPr>
          <w:p w14:paraId="74BBEDDF"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68A17D9E"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236" w:type="dxa"/>
            <w:tcBorders>
              <w:top w:val="nil"/>
              <w:left w:val="nil"/>
              <w:bottom w:val="nil"/>
              <w:right w:val="nil"/>
            </w:tcBorders>
            <w:shd w:val="clear" w:color="auto" w:fill="auto"/>
            <w:noWrap/>
            <w:vAlign w:val="bottom"/>
            <w:hideMark/>
          </w:tcPr>
          <w:p w14:paraId="165D0F1C"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416" w:type="dxa"/>
            <w:tcBorders>
              <w:top w:val="nil"/>
              <w:left w:val="nil"/>
              <w:bottom w:val="nil"/>
              <w:right w:val="nil"/>
            </w:tcBorders>
            <w:shd w:val="clear" w:color="auto" w:fill="auto"/>
            <w:noWrap/>
            <w:vAlign w:val="bottom"/>
            <w:hideMark/>
          </w:tcPr>
          <w:p w14:paraId="0B19708E"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271" w:type="dxa"/>
            <w:tcBorders>
              <w:top w:val="nil"/>
              <w:left w:val="nil"/>
              <w:bottom w:val="nil"/>
              <w:right w:val="nil"/>
            </w:tcBorders>
            <w:shd w:val="clear" w:color="auto" w:fill="auto"/>
            <w:noWrap/>
            <w:vAlign w:val="bottom"/>
            <w:hideMark/>
          </w:tcPr>
          <w:p w14:paraId="69FFA0B8"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1028" w:type="dxa"/>
            <w:tcBorders>
              <w:top w:val="nil"/>
              <w:left w:val="nil"/>
              <w:bottom w:val="nil"/>
              <w:right w:val="nil"/>
            </w:tcBorders>
            <w:shd w:val="clear" w:color="auto" w:fill="auto"/>
            <w:noWrap/>
            <w:vAlign w:val="bottom"/>
            <w:hideMark/>
          </w:tcPr>
          <w:p w14:paraId="0EC5A856"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296" w:type="dxa"/>
            <w:tcBorders>
              <w:top w:val="nil"/>
              <w:left w:val="nil"/>
              <w:bottom w:val="nil"/>
              <w:right w:val="nil"/>
            </w:tcBorders>
            <w:shd w:val="clear" w:color="auto" w:fill="auto"/>
            <w:noWrap/>
            <w:vAlign w:val="bottom"/>
            <w:hideMark/>
          </w:tcPr>
          <w:p w14:paraId="4FD79786"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c>
          <w:tcPr>
            <w:tcW w:w="996" w:type="dxa"/>
            <w:tcBorders>
              <w:top w:val="nil"/>
              <w:left w:val="nil"/>
              <w:bottom w:val="nil"/>
              <w:right w:val="nil"/>
            </w:tcBorders>
            <w:shd w:val="clear" w:color="auto" w:fill="auto"/>
            <w:noWrap/>
            <w:vAlign w:val="bottom"/>
            <w:hideMark/>
          </w:tcPr>
          <w:p w14:paraId="1CDCD6EF" w14:textId="77777777" w:rsidR="00C07CD4" w:rsidRPr="002B2821" w:rsidRDefault="00C07CD4" w:rsidP="00C07CD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16" w:type="dxa"/>
            <w:tcBorders>
              <w:top w:val="nil"/>
              <w:left w:val="nil"/>
              <w:bottom w:val="nil"/>
              <w:right w:val="nil"/>
            </w:tcBorders>
            <w:shd w:val="clear" w:color="auto" w:fill="auto"/>
            <w:noWrap/>
            <w:vAlign w:val="bottom"/>
            <w:hideMark/>
          </w:tcPr>
          <w:p w14:paraId="5F2E4DD6" w14:textId="77777777" w:rsidR="00C07CD4" w:rsidRPr="002B2821" w:rsidRDefault="00C07CD4" w:rsidP="00C07CD4">
            <w:pPr>
              <w:spacing w:after="0" w:line="240" w:lineRule="auto"/>
              <w:jc w:val="center"/>
              <w:rPr>
                <w:rFonts w:ascii="Calibri" w:hAnsi="Calibri" w:cs="Arial"/>
                <w:b/>
                <w:bCs/>
                <w:color w:val="333399"/>
                <w:sz w:val="24"/>
                <w:szCs w:val="24"/>
                <w:lang w:eastAsia="en-GB"/>
              </w:rPr>
            </w:pPr>
          </w:p>
        </w:tc>
      </w:tr>
      <w:tr w:rsidR="00C07CD4" w:rsidRPr="002B2821" w14:paraId="57A0B7F0" w14:textId="77777777" w:rsidTr="00C07CD4">
        <w:trPr>
          <w:trHeight w:val="255"/>
        </w:trPr>
        <w:tc>
          <w:tcPr>
            <w:tcW w:w="1145" w:type="dxa"/>
            <w:tcBorders>
              <w:top w:val="nil"/>
              <w:left w:val="nil"/>
              <w:bottom w:val="nil"/>
              <w:right w:val="nil"/>
            </w:tcBorders>
            <w:shd w:val="clear" w:color="auto" w:fill="auto"/>
            <w:noWrap/>
            <w:vAlign w:val="bottom"/>
            <w:hideMark/>
          </w:tcPr>
          <w:p w14:paraId="06E8277F" w14:textId="77777777" w:rsidR="00C07CD4" w:rsidRPr="002B2821" w:rsidRDefault="00C07CD4" w:rsidP="00C07CD4">
            <w:pPr>
              <w:spacing w:after="0" w:line="240" w:lineRule="auto"/>
              <w:rPr>
                <w:rFonts w:ascii="Calibri" w:hAnsi="Calibri" w:cs="Arial"/>
                <w:b/>
                <w:bCs/>
                <w:sz w:val="24"/>
                <w:szCs w:val="24"/>
                <w:lang w:eastAsia="en-GB"/>
              </w:rPr>
            </w:pPr>
            <w:r w:rsidRPr="002B2821">
              <w:rPr>
                <w:rFonts w:ascii="Calibri" w:hAnsi="Calibri" w:cs="Arial"/>
                <w:b/>
                <w:bCs/>
                <w:sz w:val="24"/>
                <w:szCs w:val="24"/>
                <w:lang w:eastAsia="en-GB"/>
              </w:rPr>
              <w:t>Cost</w:t>
            </w:r>
          </w:p>
        </w:tc>
        <w:tc>
          <w:tcPr>
            <w:tcW w:w="816" w:type="dxa"/>
            <w:tcBorders>
              <w:top w:val="nil"/>
              <w:left w:val="nil"/>
              <w:bottom w:val="nil"/>
              <w:right w:val="nil"/>
            </w:tcBorders>
            <w:shd w:val="clear" w:color="auto" w:fill="auto"/>
            <w:noWrap/>
            <w:vAlign w:val="bottom"/>
            <w:hideMark/>
          </w:tcPr>
          <w:p w14:paraId="133FEE55" w14:textId="77777777" w:rsidR="00C07CD4" w:rsidRPr="002B2821" w:rsidRDefault="00C07CD4" w:rsidP="00C07CD4">
            <w:pPr>
              <w:spacing w:after="0" w:line="240" w:lineRule="auto"/>
              <w:rPr>
                <w:rFonts w:ascii="Calibri" w:hAnsi="Calibri" w:cs="Arial"/>
                <w:b/>
                <w:bCs/>
                <w:sz w:val="24"/>
                <w:szCs w:val="24"/>
                <w:lang w:eastAsia="en-GB"/>
              </w:rPr>
            </w:pPr>
          </w:p>
        </w:tc>
        <w:tc>
          <w:tcPr>
            <w:tcW w:w="896" w:type="dxa"/>
            <w:tcBorders>
              <w:top w:val="nil"/>
              <w:left w:val="nil"/>
              <w:bottom w:val="nil"/>
              <w:right w:val="nil"/>
            </w:tcBorders>
            <w:shd w:val="clear" w:color="auto" w:fill="auto"/>
            <w:noWrap/>
            <w:vAlign w:val="bottom"/>
            <w:hideMark/>
          </w:tcPr>
          <w:p w14:paraId="16A6F964"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1EBA21E2"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5B2A98D" w14:textId="77777777" w:rsidR="00C07CD4" w:rsidRPr="002B2821" w:rsidRDefault="00C07CD4" w:rsidP="00C07CD4">
            <w:pPr>
              <w:spacing w:after="0" w:line="240" w:lineRule="auto"/>
              <w:jc w:val="center"/>
              <w:rPr>
                <w:lang w:eastAsia="en-GB"/>
              </w:rPr>
            </w:pPr>
          </w:p>
        </w:tc>
        <w:tc>
          <w:tcPr>
            <w:tcW w:w="1416" w:type="dxa"/>
            <w:tcBorders>
              <w:top w:val="nil"/>
              <w:left w:val="nil"/>
              <w:bottom w:val="nil"/>
              <w:right w:val="nil"/>
            </w:tcBorders>
            <w:shd w:val="clear" w:color="auto" w:fill="auto"/>
            <w:noWrap/>
            <w:vAlign w:val="bottom"/>
            <w:hideMark/>
          </w:tcPr>
          <w:p w14:paraId="121F66E2" w14:textId="77777777" w:rsidR="00C07CD4" w:rsidRPr="002B2821" w:rsidRDefault="00C07CD4" w:rsidP="00C07CD4">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59BAABB7" w14:textId="77777777" w:rsidR="00C07CD4" w:rsidRPr="002B2821" w:rsidRDefault="00C07CD4" w:rsidP="00C07CD4">
            <w:pPr>
              <w:spacing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695A6D7C" w14:textId="77777777" w:rsidR="00C07CD4" w:rsidRPr="002B2821" w:rsidRDefault="00C07CD4" w:rsidP="00C07CD4">
            <w:pPr>
              <w:spacing w:after="0" w:line="240" w:lineRule="auto"/>
              <w:rPr>
                <w:lang w:eastAsia="en-GB"/>
              </w:rPr>
            </w:pPr>
          </w:p>
        </w:tc>
        <w:tc>
          <w:tcPr>
            <w:tcW w:w="296" w:type="dxa"/>
            <w:tcBorders>
              <w:top w:val="nil"/>
              <w:left w:val="nil"/>
              <w:bottom w:val="nil"/>
              <w:right w:val="nil"/>
            </w:tcBorders>
            <w:shd w:val="clear" w:color="auto" w:fill="auto"/>
            <w:noWrap/>
            <w:vAlign w:val="bottom"/>
            <w:hideMark/>
          </w:tcPr>
          <w:p w14:paraId="4D271E5D"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70C4BA56" w14:textId="77777777" w:rsidR="00C07CD4" w:rsidRPr="002B2821" w:rsidRDefault="00C07CD4" w:rsidP="00C07CD4">
            <w:pPr>
              <w:spacing w:after="0" w:line="240" w:lineRule="auto"/>
              <w:rPr>
                <w:lang w:eastAsia="en-GB"/>
              </w:rPr>
            </w:pPr>
          </w:p>
        </w:tc>
        <w:tc>
          <w:tcPr>
            <w:tcW w:w="416" w:type="dxa"/>
            <w:tcBorders>
              <w:top w:val="nil"/>
              <w:left w:val="nil"/>
              <w:bottom w:val="nil"/>
              <w:right w:val="nil"/>
            </w:tcBorders>
            <w:shd w:val="clear" w:color="auto" w:fill="auto"/>
            <w:noWrap/>
            <w:vAlign w:val="bottom"/>
            <w:hideMark/>
          </w:tcPr>
          <w:p w14:paraId="462D6C4E" w14:textId="77777777" w:rsidR="00C07CD4" w:rsidRPr="002B2821" w:rsidRDefault="00C07CD4" w:rsidP="00C07CD4">
            <w:pPr>
              <w:spacing w:after="0" w:line="240" w:lineRule="auto"/>
              <w:jc w:val="center"/>
              <w:rPr>
                <w:lang w:eastAsia="en-GB"/>
              </w:rPr>
            </w:pPr>
          </w:p>
        </w:tc>
      </w:tr>
      <w:tr w:rsidR="00C07CD4" w:rsidRPr="002B2821" w14:paraId="1BD16974"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4BBD5697"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1 October 2017</w:t>
            </w:r>
          </w:p>
        </w:tc>
        <w:tc>
          <w:tcPr>
            <w:tcW w:w="1043" w:type="dxa"/>
            <w:tcBorders>
              <w:top w:val="nil"/>
              <w:left w:val="nil"/>
              <w:bottom w:val="nil"/>
              <w:right w:val="nil"/>
            </w:tcBorders>
            <w:shd w:val="clear" w:color="auto" w:fill="auto"/>
            <w:noWrap/>
            <w:vAlign w:val="bottom"/>
            <w:hideMark/>
          </w:tcPr>
          <w:p w14:paraId="39AFC7FB"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69</w:t>
            </w:r>
          </w:p>
        </w:tc>
        <w:tc>
          <w:tcPr>
            <w:tcW w:w="236" w:type="dxa"/>
            <w:tcBorders>
              <w:top w:val="nil"/>
              <w:left w:val="nil"/>
              <w:bottom w:val="nil"/>
              <w:right w:val="nil"/>
            </w:tcBorders>
            <w:shd w:val="clear" w:color="auto" w:fill="auto"/>
            <w:noWrap/>
            <w:vAlign w:val="bottom"/>
            <w:hideMark/>
          </w:tcPr>
          <w:p w14:paraId="2797BBF5"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03125C55"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9</w:t>
            </w:r>
          </w:p>
        </w:tc>
        <w:tc>
          <w:tcPr>
            <w:tcW w:w="271" w:type="dxa"/>
            <w:tcBorders>
              <w:top w:val="nil"/>
              <w:left w:val="nil"/>
              <w:bottom w:val="nil"/>
              <w:right w:val="nil"/>
            </w:tcBorders>
            <w:shd w:val="clear" w:color="auto" w:fill="auto"/>
            <w:noWrap/>
            <w:vAlign w:val="bottom"/>
            <w:hideMark/>
          </w:tcPr>
          <w:p w14:paraId="726CD070"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5385554B"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465</w:t>
            </w:r>
          </w:p>
        </w:tc>
        <w:tc>
          <w:tcPr>
            <w:tcW w:w="296" w:type="dxa"/>
            <w:tcBorders>
              <w:top w:val="nil"/>
              <w:left w:val="nil"/>
              <w:bottom w:val="nil"/>
              <w:right w:val="nil"/>
            </w:tcBorders>
            <w:shd w:val="clear" w:color="auto" w:fill="auto"/>
            <w:noWrap/>
            <w:vAlign w:val="bottom"/>
            <w:hideMark/>
          </w:tcPr>
          <w:p w14:paraId="3D2611B6"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7882496E"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543</w:t>
            </w:r>
          </w:p>
        </w:tc>
        <w:tc>
          <w:tcPr>
            <w:tcW w:w="416" w:type="dxa"/>
            <w:tcBorders>
              <w:top w:val="nil"/>
              <w:left w:val="nil"/>
              <w:bottom w:val="nil"/>
              <w:right w:val="nil"/>
            </w:tcBorders>
            <w:shd w:val="clear" w:color="auto" w:fill="auto"/>
            <w:noWrap/>
            <w:vAlign w:val="bottom"/>
            <w:hideMark/>
          </w:tcPr>
          <w:p w14:paraId="39480AC1"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7310B1B5" w14:textId="77777777" w:rsidTr="00C07CD4">
        <w:trPr>
          <w:trHeight w:val="255"/>
        </w:trPr>
        <w:tc>
          <w:tcPr>
            <w:tcW w:w="1145" w:type="dxa"/>
            <w:tcBorders>
              <w:top w:val="nil"/>
              <w:left w:val="nil"/>
              <w:bottom w:val="nil"/>
              <w:right w:val="nil"/>
            </w:tcBorders>
            <w:shd w:val="clear" w:color="auto" w:fill="auto"/>
            <w:noWrap/>
            <w:vAlign w:val="bottom"/>
            <w:hideMark/>
          </w:tcPr>
          <w:p w14:paraId="4BC74ABA"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Additions</w:t>
            </w:r>
          </w:p>
        </w:tc>
        <w:tc>
          <w:tcPr>
            <w:tcW w:w="816" w:type="dxa"/>
            <w:tcBorders>
              <w:top w:val="nil"/>
              <w:left w:val="nil"/>
              <w:bottom w:val="nil"/>
              <w:right w:val="nil"/>
            </w:tcBorders>
            <w:shd w:val="clear" w:color="auto" w:fill="auto"/>
            <w:noWrap/>
            <w:vAlign w:val="bottom"/>
            <w:hideMark/>
          </w:tcPr>
          <w:p w14:paraId="378A9544" w14:textId="77777777" w:rsidR="00C07CD4" w:rsidRPr="002B2821" w:rsidRDefault="00C07CD4" w:rsidP="00C07CD4">
            <w:pPr>
              <w:spacing w:after="0" w:line="240" w:lineRule="auto"/>
              <w:rPr>
                <w:rFonts w:ascii="Calibri" w:hAnsi="Calibri" w:cs="Arial"/>
                <w:color w:val="000000"/>
                <w:sz w:val="24"/>
                <w:szCs w:val="24"/>
                <w:lang w:eastAsia="en-GB"/>
              </w:rPr>
            </w:pPr>
          </w:p>
        </w:tc>
        <w:tc>
          <w:tcPr>
            <w:tcW w:w="896" w:type="dxa"/>
            <w:tcBorders>
              <w:top w:val="nil"/>
              <w:left w:val="nil"/>
              <w:bottom w:val="nil"/>
              <w:right w:val="nil"/>
            </w:tcBorders>
            <w:shd w:val="clear" w:color="auto" w:fill="auto"/>
            <w:noWrap/>
            <w:vAlign w:val="bottom"/>
            <w:hideMark/>
          </w:tcPr>
          <w:p w14:paraId="5A8D276B"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742E2C47"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25</w:t>
            </w:r>
          </w:p>
        </w:tc>
        <w:tc>
          <w:tcPr>
            <w:tcW w:w="236" w:type="dxa"/>
            <w:tcBorders>
              <w:top w:val="nil"/>
              <w:left w:val="nil"/>
              <w:bottom w:val="nil"/>
              <w:right w:val="nil"/>
            </w:tcBorders>
            <w:shd w:val="clear" w:color="auto" w:fill="auto"/>
            <w:noWrap/>
            <w:vAlign w:val="bottom"/>
            <w:hideMark/>
          </w:tcPr>
          <w:p w14:paraId="2A659C07"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171F7251" w14:textId="4396388B" w:rsidR="00C07CD4" w:rsidRPr="002B2821" w:rsidRDefault="00701A08" w:rsidP="00701A08">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71" w:type="dxa"/>
            <w:tcBorders>
              <w:top w:val="nil"/>
              <w:left w:val="nil"/>
              <w:bottom w:val="nil"/>
              <w:right w:val="nil"/>
            </w:tcBorders>
            <w:shd w:val="clear" w:color="auto" w:fill="auto"/>
            <w:noWrap/>
            <w:vAlign w:val="bottom"/>
            <w:hideMark/>
          </w:tcPr>
          <w:p w14:paraId="2C7142A0"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1015CC9E"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96" w:type="dxa"/>
            <w:tcBorders>
              <w:top w:val="nil"/>
              <w:left w:val="nil"/>
              <w:bottom w:val="nil"/>
              <w:right w:val="nil"/>
            </w:tcBorders>
            <w:shd w:val="clear" w:color="auto" w:fill="auto"/>
            <w:noWrap/>
            <w:vAlign w:val="bottom"/>
            <w:hideMark/>
          </w:tcPr>
          <w:p w14:paraId="2F5790BB"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4D582CC6"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25</w:t>
            </w:r>
          </w:p>
        </w:tc>
        <w:tc>
          <w:tcPr>
            <w:tcW w:w="416" w:type="dxa"/>
            <w:tcBorders>
              <w:top w:val="nil"/>
              <w:left w:val="nil"/>
              <w:bottom w:val="nil"/>
              <w:right w:val="nil"/>
            </w:tcBorders>
            <w:shd w:val="clear" w:color="auto" w:fill="auto"/>
            <w:noWrap/>
            <w:vAlign w:val="bottom"/>
            <w:hideMark/>
          </w:tcPr>
          <w:p w14:paraId="4ABA95C6"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5020EE21" w14:textId="77777777" w:rsidTr="00C07CD4">
        <w:trPr>
          <w:trHeight w:val="255"/>
        </w:trPr>
        <w:tc>
          <w:tcPr>
            <w:tcW w:w="1145" w:type="dxa"/>
            <w:tcBorders>
              <w:top w:val="nil"/>
              <w:left w:val="nil"/>
              <w:bottom w:val="nil"/>
              <w:right w:val="nil"/>
            </w:tcBorders>
            <w:shd w:val="clear" w:color="auto" w:fill="auto"/>
            <w:noWrap/>
            <w:vAlign w:val="bottom"/>
            <w:hideMark/>
          </w:tcPr>
          <w:p w14:paraId="627E525B"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Disposals</w:t>
            </w:r>
          </w:p>
        </w:tc>
        <w:tc>
          <w:tcPr>
            <w:tcW w:w="816" w:type="dxa"/>
            <w:tcBorders>
              <w:top w:val="nil"/>
              <w:left w:val="nil"/>
              <w:bottom w:val="nil"/>
              <w:right w:val="nil"/>
            </w:tcBorders>
            <w:shd w:val="clear" w:color="auto" w:fill="auto"/>
            <w:noWrap/>
            <w:vAlign w:val="bottom"/>
            <w:hideMark/>
          </w:tcPr>
          <w:p w14:paraId="232A5297" w14:textId="77777777" w:rsidR="00C07CD4" w:rsidRPr="002B2821" w:rsidRDefault="00C07CD4" w:rsidP="00C07CD4">
            <w:pPr>
              <w:spacing w:after="0" w:line="240" w:lineRule="auto"/>
              <w:rPr>
                <w:rFonts w:ascii="Calibri" w:hAnsi="Calibri" w:cs="Arial"/>
                <w:color w:val="000000"/>
                <w:sz w:val="24"/>
                <w:szCs w:val="24"/>
                <w:lang w:eastAsia="en-GB"/>
              </w:rPr>
            </w:pPr>
          </w:p>
        </w:tc>
        <w:tc>
          <w:tcPr>
            <w:tcW w:w="896" w:type="dxa"/>
            <w:tcBorders>
              <w:top w:val="nil"/>
              <w:left w:val="nil"/>
              <w:bottom w:val="nil"/>
              <w:right w:val="nil"/>
            </w:tcBorders>
            <w:shd w:val="clear" w:color="auto" w:fill="auto"/>
            <w:noWrap/>
            <w:vAlign w:val="bottom"/>
            <w:hideMark/>
          </w:tcPr>
          <w:p w14:paraId="29AF230E"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3EE08C67"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(48)</w:t>
            </w:r>
          </w:p>
        </w:tc>
        <w:tc>
          <w:tcPr>
            <w:tcW w:w="236" w:type="dxa"/>
            <w:tcBorders>
              <w:top w:val="nil"/>
              <w:left w:val="nil"/>
              <w:bottom w:val="nil"/>
              <w:right w:val="nil"/>
            </w:tcBorders>
            <w:shd w:val="clear" w:color="auto" w:fill="auto"/>
            <w:noWrap/>
            <w:vAlign w:val="bottom"/>
            <w:hideMark/>
          </w:tcPr>
          <w:p w14:paraId="47772DB9"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4221F809" w14:textId="36AD6054" w:rsidR="00C07CD4" w:rsidRPr="002B2821" w:rsidRDefault="00701A08"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71" w:type="dxa"/>
            <w:tcBorders>
              <w:top w:val="nil"/>
              <w:left w:val="nil"/>
              <w:bottom w:val="nil"/>
              <w:right w:val="nil"/>
            </w:tcBorders>
            <w:shd w:val="clear" w:color="auto" w:fill="auto"/>
            <w:noWrap/>
            <w:vAlign w:val="bottom"/>
            <w:hideMark/>
          </w:tcPr>
          <w:p w14:paraId="2C354557"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12B1ECCE"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96" w:type="dxa"/>
            <w:tcBorders>
              <w:top w:val="nil"/>
              <w:left w:val="nil"/>
              <w:bottom w:val="nil"/>
              <w:right w:val="nil"/>
            </w:tcBorders>
            <w:shd w:val="clear" w:color="auto" w:fill="auto"/>
            <w:noWrap/>
            <w:vAlign w:val="bottom"/>
            <w:hideMark/>
          </w:tcPr>
          <w:p w14:paraId="4ED65847"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1005738A"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(48)</w:t>
            </w:r>
          </w:p>
        </w:tc>
        <w:tc>
          <w:tcPr>
            <w:tcW w:w="416" w:type="dxa"/>
            <w:tcBorders>
              <w:top w:val="nil"/>
              <w:left w:val="nil"/>
              <w:bottom w:val="nil"/>
              <w:right w:val="nil"/>
            </w:tcBorders>
            <w:shd w:val="clear" w:color="auto" w:fill="auto"/>
            <w:noWrap/>
            <w:vAlign w:val="bottom"/>
            <w:hideMark/>
          </w:tcPr>
          <w:p w14:paraId="3C2E1D25"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7D398049"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1A5C5217" w14:textId="77777777" w:rsidR="00C07CD4" w:rsidRPr="002B2821" w:rsidRDefault="00C07CD4" w:rsidP="00C07CD4">
            <w:pPr>
              <w:spacing w:after="0" w:line="240" w:lineRule="auto"/>
              <w:rPr>
                <w:rFonts w:ascii="Calibri" w:hAnsi="Calibri" w:cs="Arial"/>
                <w:b/>
                <w:bCs/>
                <w:sz w:val="24"/>
                <w:szCs w:val="24"/>
                <w:lang w:eastAsia="en-GB"/>
              </w:rPr>
            </w:pPr>
            <w:r w:rsidRPr="002B2821">
              <w:rPr>
                <w:rFonts w:ascii="Calibri" w:hAnsi="Calibri" w:cs="Arial"/>
                <w:b/>
                <w:bCs/>
                <w:sz w:val="24"/>
                <w:szCs w:val="24"/>
                <w:lang w:eastAsia="en-GB"/>
              </w:rPr>
              <w:t>At 30 September 2018</w:t>
            </w:r>
          </w:p>
        </w:tc>
        <w:tc>
          <w:tcPr>
            <w:tcW w:w="1043" w:type="dxa"/>
            <w:tcBorders>
              <w:top w:val="single" w:sz="4" w:space="0" w:color="3C3C3C"/>
              <w:left w:val="nil"/>
              <w:bottom w:val="double" w:sz="6" w:space="0" w:color="3C3C3C"/>
              <w:right w:val="nil"/>
            </w:tcBorders>
            <w:shd w:val="clear" w:color="auto" w:fill="auto"/>
            <w:noWrap/>
            <w:vAlign w:val="bottom"/>
            <w:hideMark/>
          </w:tcPr>
          <w:p w14:paraId="62C5F79F"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46</w:t>
            </w:r>
          </w:p>
        </w:tc>
        <w:tc>
          <w:tcPr>
            <w:tcW w:w="236" w:type="dxa"/>
            <w:tcBorders>
              <w:top w:val="single" w:sz="4" w:space="0" w:color="3C3C3C"/>
              <w:left w:val="nil"/>
              <w:bottom w:val="double" w:sz="6" w:space="0" w:color="3C3C3C"/>
              <w:right w:val="nil"/>
            </w:tcBorders>
            <w:shd w:val="clear" w:color="auto" w:fill="auto"/>
            <w:noWrap/>
            <w:vAlign w:val="bottom"/>
            <w:hideMark/>
          </w:tcPr>
          <w:p w14:paraId="5FB98299"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416" w:type="dxa"/>
            <w:tcBorders>
              <w:top w:val="single" w:sz="4" w:space="0" w:color="3C3C3C"/>
              <w:left w:val="nil"/>
              <w:bottom w:val="double" w:sz="6" w:space="0" w:color="3C3C3C"/>
              <w:right w:val="nil"/>
            </w:tcBorders>
            <w:shd w:val="clear" w:color="auto" w:fill="auto"/>
            <w:noWrap/>
            <w:vAlign w:val="bottom"/>
            <w:hideMark/>
          </w:tcPr>
          <w:p w14:paraId="6AD420BD"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9</w:t>
            </w:r>
          </w:p>
        </w:tc>
        <w:tc>
          <w:tcPr>
            <w:tcW w:w="271" w:type="dxa"/>
            <w:tcBorders>
              <w:top w:val="single" w:sz="4" w:space="0" w:color="3C3C3C"/>
              <w:left w:val="nil"/>
              <w:bottom w:val="double" w:sz="6" w:space="0" w:color="3C3C3C"/>
              <w:right w:val="nil"/>
            </w:tcBorders>
            <w:shd w:val="clear" w:color="auto" w:fill="auto"/>
            <w:noWrap/>
            <w:vAlign w:val="bottom"/>
            <w:hideMark/>
          </w:tcPr>
          <w:p w14:paraId="66F8E7D9"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1028" w:type="dxa"/>
            <w:tcBorders>
              <w:top w:val="single" w:sz="4" w:space="0" w:color="3C3C3C"/>
              <w:left w:val="nil"/>
              <w:bottom w:val="double" w:sz="6" w:space="0" w:color="3C3C3C"/>
              <w:right w:val="nil"/>
            </w:tcBorders>
            <w:shd w:val="clear" w:color="auto" w:fill="auto"/>
            <w:noWrap/>
            <w:vAlign w:val="bottom"/>
            <w:hideMark/>
          </w:tcPr>
          <w:p w14:paraId="75E34CF7"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465</w:t>
            </w:r>
          </w:p>
        </w:tc>
        <w:tc>
          <w:tcPr>
            <w:tcW w:w="296" w:type="dxa"/>
            <w:tcBorders>
              <w:top w:val="single" w:sz="4" w:space="0" w:color="3C3C3C"/>
              <w:left w:val="nil"/>
              <w:bottom w:val="double" w:sz="6" w:space="0" w:color="3C3C3C"/>
              <w:right w:val="nil"/>
            </w:tcBorders>
            <w:shd w:val="clear" w:color="auto" w:fill="auto"/>
            <w:noWrap/>
            <w:vAlign w:val="bottom"/>
            <w:hideMark/>
          </w:tcPr>
          <w:p w14:paraId="2C0C9778"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996" w:type="dxa"/>
            <w:tcBorders>
              <w:top w:val="single" w:sz="4" w:space="0" w:color="3C3C3C"/>
              <w:left w:val="nil"/>
              <w:bottom w:val="double" w:sz="6" w:space="0" w:color="3C3C3C"/>
              <w:right w:val="nil"/>
            </w:tcBorders>
            <w:shd w:val="clear" w:color="auto" w:fill="auto"/>
            <w:noWrap/>
            <w:vAlign w:val="bottom"/>
            <w:hideMark/>
          </w:tcPr>
          <w:p w14:paraId="7A1B9442"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520</w:t>
            </w:r>
          </w:p>
        </w:tc>
        <w:tc>
          <w:tcPr>
            <w:tcW w:w="416" w:type="dxa"/>
            <w:tcBorders>
              <w:top w:val="nil"/>
              <w:left w:val="nil"/>
              <w:bottom w:val="nil"/>
              <w:right w:val="nil"/>
            </w:tcBorders>
            <w:shd w:val="clear" w:color="auto" w:fill="auto"/>
            <w:noWrap/>
            <w:vAlign w:val="bottom"/>
            <w:hideMark/>
          </w:tcPr>
          <w:p w14:paraId="0F1394A0"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35464EF2" w14:textId="77777777" w:rsidTr="00C07CD4">
        <w:trPr>
          <w:trHeight w:val="255"/>
        </w:trPr>
        <w:tc>
          <w:tcPr>
            <w:tcW w:w="1145" w:type="dxa"/>
            <w:tcBorders>
              <w:top w:val="nil"/>
              <w:left w:val="nil"/>
              <w:bottom w:val="nil"/>
              <w:right w:val="nil"/>
            </w:tcBorders>
            <w:shd w:val="clear" w:color="auto" w:fill="auto"/>
            <w:noWrap/>
            <w:vAlign w:val="bottom"/>
            <w:hideMark/>
          </w:tcPr>
          <w:p w14:paraId="21FB5945" w14:textId="77777777" w:rsidR="00C07CD4" w:rsidRPr="002B2821" w:rsidRDefault="00C07CD4" w:rsidP="00C07CD4">
            <w:pPr>
              <w:spacing w:after="0" w:line="240" w:lineRule="auto"/>
              <w:rPr>
                <w:lang w:eastAsia="en-GB"/>
              </w:rPr>
            </w:pPr>
          </w:p>
        </w:tc>
        <w:tc>
          <w:tcPr>
            <w:tcW w:w="816" w:type="dxa"/>
            <w:tcBorders>
              <w:top w:val="nil"/>
              <w:left w:val="nil"/>
              <w:bottom w:val="nil"/>
              <w:right w:val="nil"/>
            </w:tcBorders>
            <w:shd w:val="clear" w:color="auto" w:fill="auto"/>
            <w:noWrap/>
            <w:vAlign w:val="bottom"/>
            <w:hideMark/>
          </w:tcPr>
          <w:p w14:paraId="429C8382" w14:textId="77777777" w:rsidR="00C07CD4" w:rsidRPr="002B2821" w:rsidRDefault="00C07CD4" w:rsidP="00C07CD4">
            <w:pPr>
              <w:spacing w:after="0" w:line="240" w:lineRule="auto"/>
              <w:rPr>
                <w:lang w:eastAsia="en-GB"/>
              </w:rPr>
            </w:pPr>
          </w:p>
        </w:tc>
        <w:tc>
          <w:tcPr>
            <w:tcW w:w="896" w:type="dxa"/>
            <w:tcBorders>
              <w:top w:val="nil"/>
              <w:left w:val="nil"/>
              <w:bottom w:val="nil"/>
              <w:right w:val="nil"/>
            </w:tcBorders>
            <w:shd w:val="clear" w:color="auto" w:fill="auto"/>
            <w:noWrap/>
            <w:vAlign w:val="bottom"/>
            <w:hideMark/>
          </w:tcPr>
          <w:p w14:paraId="096DEB18"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58E0BB87"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408712A5" w14:textId="77777777" w:rsidR="00C07CD4" w:rsidRPr="002B2821" w:rsidRDefault="00C07CD4" w:rsidP="00C07CD4">
            <w:pPr>
              <w:spacing w:after="0" w:line="240" w:lineRule="auto"/>
              <w:jc w:val="center"/>
              <w:rPr>
                <w:lang w:eastAsia="en-GB"/>
              </w:rPr>
            </w:pPr>
          </w:p>
        </w:tc>
        <w:tc>
          <w:tcPr>
            <w:tcW w:w="1416" w:type="dxa"/>
            <w:tcBorders>
              <w:top w:val="nil"/>
              <w:left w:val="nil"/>
              <w:bottom w:val="nil"/>
              <w:right w:val="nil"/>
            </w:tcBorders>
            <w:shd w:val="clear" w:color="auto" w:fill="auto"/>
            <w:noWrap/>
            <w:vAlign w:val="bottom"/>
            <w:hideMark/>
          </w:tcPr>
          <w:p w14:paraId="18E30D4D" w14:textId="77777777" w:rsidR="00C07CD4" w:rsidRPr="002B2821" w:rsidRDefault="00C07CD4" w:rsidP="00C07CD4">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5981EFC7" w14:textId="77777777" w:rsidR="00C07CD4" w:rsidRPr="002B2821" w:rsidRDefault="00C07CD4" w:rsidP="00C07CD4">
            <w:pPr>
              <w:spacing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68D896F5" w14:textId="77777777" w:rsidR="00C07CD4" w:rsidRPr="002B2821" w:rsidRDefault="00C07CD4" w:rsidP="00C07CD4">
            <w:pPr>
              <w:spacing w:after="0" w:line="240" w:lineRule="auto"/>
              <w:rPr>
                <w:lang w:eastAsia="en-GB"/>
              </w:rPr>
            </w:pPr>
          </w:p>
        </w:tc>
        <w:tc>
          <w:tcPr>
            <w:tcW w:w="296" w:type="dxa"/>
            <w:tcBorders>
              <w:top w:val="nil"/>
              <w:left w:val="nil"/>
              <w:bottom w:val="nil"/>
              <w:right w:val="nil"/>
            </w:tcBorders>
            <w:shd w:val="clear" w:color="auto" w:fill="auto"/>
            <w:noWrap/>
            <w:vAlign w:val="bottom"/>
            <w:hideMark/>
          </w:tcPr>
          <w:p w14:paraId="582423E6"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7D8201CC" w14:textId="77777777" w:rsidR="00C07CD4" w:rsidRPr="002B2821" w:rsidRDefault="00C07CD4" w:rsidP="00C07CD4">
            <w:pPr>
              <w:spacing w:after="0" w:line="240" w:lineRule="auto"/>
              <w:rPr>
                <w:lang w:eastAsia="en-GB"/>
              </w:rPr>
            </w:pPr>
          </w:p>
        </w:tc>
        <w:tc>
          <w:tcPr>
            <w:tcW w:w="416" w:type="dxa"/>
            <w:tcBorders>
              <w:top w:val="nil"/>
              <w:left w:val="nil"/>
              <w:bottom w:val="nil"/>
              <w:right w:val="nil"/>
            </w:tcBorders>
            <w:shd w:val="clear" w:color="auto" w:fill="auto"/>
            <w:noWrap/>
            <w:vAlign w:val="bottom"/>
            <w:hideMark/>
          </w:tcPr>
          <w:p w14:paraId="7F8BE7BE" w14:textId="77777777" w:rsidR="00C07CD4" w:rsidRPr="002B2821" w:rsidRDefault="00C07CD4" w:rsidP="00C07CD4">
            <w:pPr>
              <w:spacing w:after="0" w:line="240" w:lineRule="auto"/>
              <w:jc w:val="center"/>
              <w:rPr>
                <w:lang w:eastAsia="en-GB"/>
              </w:rPr>
            </w:pPr>
          </w:p>
        </w:tc>
      </w:tr>
      <w:tr w:rsidR="00C07CD4" w:rsidRPr="002B2821" w14:paraId="0E109790" w14:textId="77777777" w:rsidTr="00C07CD4">
        <w:trPr>
          <w:trHeight w:val="255"/>
        </w:trPr>
        <w:tc>
          <w:tcPr>
            <w:tcW w:w="3900" w:type="dxa"/>
            <w:gridSpan w:val="4"/>
            <w:tcBorders>
              <w:top w:val="nil"/>
              <w:left w:val="nil"/>
              <w:bottom w:val="nil"/>
              <w:right w:val="nil"/>
            </w:tcBorders>
            <w:shd w:val="clear" w:color="auto" w:fill="auto"/>
            <w:noWrap/>
            <w:vAlign w:val="bottom"/>
            <w:hideMark/>
          </w:tcPr>
          <w:p w14:paraId="654F7B8B"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Accumulated depreciation</w:t>
            </w:r>
          </w:p>
        </w:tc>
        <w:tc>
          <w:tcPr>
            <w:tcW w:w="236" w:type="dxa"/>
            <w:tcBorders>
              <w:top w:val="nil"/>
              <w:left w:val="nil"/>
              <w:bottom w:val="nil"/>
              <w:right w:val="nil"/>
            </w:tcBorders>
            <w:shd w:val="clear" w:color="auto" w:fill="auto"/>
            <w:noWrap/>
            <w:vAlign w:val="bottom"/>
            <w:hideMark/>
          </w:tcPr>
          <w:p w14:paraId="35437756"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7845F109" w14:textId="77777777" w:rsidR="00C07CD4" w:rsidRPr="002B2821" w:rsidRDefault="00C07CD4" w:rsidP="00C07CD4">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2E3CDB75" w14:textId="77777777" w:rsidR="00C07CD4" w:rsidRPr="002B2821" w:rsidRDefault="00C07CD4" w:rsidP="00C07CD4">
            <w:pPr>
              <w:spacing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6FBBF4A3" w14:textId="77777777" w:rsidR="00C07CD4" w:rsidRPr="002B2821" w:rsidRDefault="00C07CD4" w:rsidP="00C07CD4">
            <w:pPr>
              <w:spacing w:after="0" w:line="240" w:lineRule="auto"/>
              <w:rPr>
                <w:lang w:eastAsia="en-GB"/>
              </w:rPr>
            </w:pPr>
          </w:p>
        </w:tc>
        <w:tc>
          <w:tcPr>
            <w:tcW w:w="296" w:type="dxa"/>
            <w:tcBorders>
              <w:top w:val="nil"/>
              <w:left w:val="nil"/>
              <w:bottom w:val="nil"/>
              <w:right w:val="nil"/>
            </w:tcBorders>
            <w:shd w:val="clear" w:color="auto" w:fill="auto"/>
            <w:noWrap/>
            <w:vAlign w:val="bottom"/>
            <w:hideMark/>
          </w:tcPr>
          <w:p w14:paraId="18A508F4"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0E55364F" w14:textId="77777777" w:rsidR="00C07CD4" w:rsidRPr="002B2821" w:rsidRDefault="00C07CD4" w:rsidP="00C07CD4">
            <w:pPr>
              <w:spacing w:after="0" w:line="240" w:lineRule="auto"/>
              <w:rPr>
                <w:lang w:eastAsia="en-GB"/>
              </w:rPr>
            </w:pPr>
          </w:p>
        </w:tc>
        <w:tc>
          <w:tcPr>
            <w:tcW w:w="416" w:type="dxa"/>
            <w:tcBorders>
              <w:top w:val="nil"/>
              <w:left w:val="nil"/>
              <w:bottom w:val="nil"/>
              <w:right w:val="nil"/>
            </w:tcBorders>
            <w:shd w:val="clear" w:color="auto" w:fill="auto"/>
            <w:noWrap/>
            <w:vAlign w:val="bottom"/>
            <w:hideMark/>
          </w:tcPr>
          <w:p w14:paraId="76113AFB" w14:textId="77777777" w:rsidR="00C07CD4" w:rsidRPr="002B2821" w:rsidRDefault="00C07CD4" w:rsidP="00C07CD4">
            <w:pPr>
              <w:spacing w:after="0" w:line="240" w:lineRule="auto"/>
              <w:jc w:val="center"/>
              <w:rPr>
                <w:lang w:eastAsia="en-GB"/>
              </w:rPr>
            </w:pPr>
          </w:p>
        </w:tc>
      </w:tr>
      <w:tr w:rsidR="00C07CD4" w:rsidRPr="002B2821" w14:paraId="48864974"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2D9323D7"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1 October 2017</w:t>
            </w:r>
          </w:p>
        </w:tc>
        <w:tc>
          <w:tcPr>
            <w:tcW w:w="1043" w:type="dxa"/>
            <w:tcBorders>
              <w:top w:val="nil"/>
              <w:left w:val="nil"/>
              <w:bottom w:val="nil"/>
              <w:right w:val="nil"/>
            </w:tcBorders>
            <w:shd w:val="clear" w:color="auto" w:fill="auto"/>
            <w:noWrap/>
            <w:vAlign w:val="bottom"/>
            <w:hideMark/>
          </w:tcPr>
          <w:p w14:paraId="00D2AF40"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29</w:t>
            </w:r>
          </w:p>
        </w:tc>
        <w:tc>
          <w:tcPr>
            <w:tcW w:w="236" w:type="dxa"/>
            <w:tcBorders>
              <w:top w:val="nil"/>
              <w:left w:val="nil"/>
              <w:bottom w:val="nil"/>
              <w:right w:val="nil"/>
            </w:tcBorders>
            <w:shd w:val="clear" w:color="auto" w:fill="auto"/>
            <w:noWrap/>
            <w:vAlign w:val="bottom"/>
            <w:hideMark/>
          </w:tcPr>
          <w:p w14:paraId="2D99C9F2"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7FE51C62"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9</w:t>
            </w:r>
          </w:p>
        </w:tc>
        <w:tc>
          <w:tcPr>
            <w:tcW w:w="271" w:type="dxa"/>
            <w:tcBorders>
              <w:top w:val="nil"/>
              <w:left w:val="nil"/>
              <w:bottom w:val="nil"/>
              <w:right w:val="nil"/>
            </w:tcBorders>
            <w:shd w:val="clear" w:color="auto" w:fill="auto"/>
            <w:noWrap/>
            <w:vAlign w:val="bottom"/>
            <w:hideMark/>
          </w:tcPr>
          <w:p w14:paraId="137ECE48"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02BC66F8"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137</w:t>
            </w:r>
          </w:p>
        </w:tc>
        <w:tc>
          <w:tcPr>
            <w:tcW w:w="296" w:type="dxa"/>
            <w:tcBorders>
              <w:top w:val="nil"/>
              <w:left w:val="nil"/>
              <w:bottom w:val="nil"/>
              <w:right w:val="nil"/>
            </w:tcBorders>
            <w:shd w:val="clear" w:color="auto" w:fill="auto"/>
            <w:noWrap/>
            <w:vAlign w:val="bottom"/>
            <w:hideMark/>
          </w:tcPr>
          <w:p w14:paraId="10C6DE29"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384588DD"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175</w:t>
            </w:r>
          </w:p>
        </w:tc>
        <w:tc>
          <w:tcPr>
            <w:tcW w:w="416" w:type="dxa"/>
            <w:tcBorders>
              <w:top w:val="nil"/>
              <w:left w:val="nil"/>
              <w:bottom w:val="nil"/>
              <w:right w:val="nil"/>
            </w:tcBorders>
            <w:shd w:val="clear" w:color="auto" w:fill="auto"/>
            <w:noWrap/>
            <w:vAlign w:val="bottom"/>
            <w:hideMark/>
          </w:tcPr>
          <w:p w14:paraId="5EA05914"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0263CB4C" w14:textId="77777777" w:rsidTr="00C07CD4">
        <w:trPr>
          <w:trHeight w:val="255"/>
        </w:trPr>
        <w:tc>
          <w:tcPr>
            <w:tcW w:w="1145" w:type="dxa"/>
            <w:tcBorders>
              <w:top w:val="nil"/>
              <w:left w:val="nil"/>
              <w:bottom w:val="nil"/>
              <w:right w:val="nil"/>
            </w:tcBorders>
            <w:shd w:val="clear" w:color="auto" w:fill="auto"/>
            <w:noWrap/>
            <w:vAlign w:val="bottom"/>
            <w:hideMark/>
          </w:tcPr>
          <w:p w14:paraId="62BCC446"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Charged</w:t>
            </w:r>
          </w:p>
        </w:tc>
        <w:tc>
          <w:tcPr>
            <w:tcW w:w="816" w:type="dxa"/>
            <w:tcBorders>
              <w:top w:val="nil"/>
              <w:left w:val="nil"/>
              <w:bottom w:val="nil"/>
              <w:right w:val="nil"/>
            </w:tcBorders>
            <w:shd w:val="clear" w:color="auto" w:fill="auto"/>
            <w:noWrap/>
            <w:vAlign w:val="bottom"/>
            <w:hideMark/>
          </w:tcPr>
          <w:p w14:paraId="7EC2A929" w14:textId="77777777" w:rsidR="00C07CD4" w:rsidRPr="002B2821" w:rsidRDefault="00C07CD4" w:rsidP="00C07CD4">
            <w:pPr>
              <w:spacing w:after="0" w:line="240" w:lineRule="auto"/>
              <w:rPr>
                <w:rFonts w:ascii="Calibri" w:hAnsi="Calibri" w:cs="Arial"/>
                <w:color w:val="000000"/>
                <w:sz w:val="24"/>
                <w:szCs w:val="24"/>
                <w:lang w:eastAsia="en-GB"/>
              </w:rPr>
            </w:pPr>
          </w:p>
        </w:tc>
        <w:tc>
          <w:tcPr>
            <w:tcW w:w="896" w:type="dxa"/>
            <w:tcBorders>
              <w:top w:val="nil"/>
              <w:left w:val="nil"/>
              <w:bottom w:val="nil"/>
              <w:right w:val="nil"/>
            </w:tcBorders>
            <w:shd w:val="clear" w:color="auto" w:fill="auto"/>
            <w:noWrap/>
            <w:vAlign w:val="bottom"/>
            <w:hideMark/>
          </w:tcPr>
          <w:p w14:paraId="0CE09424"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1E9FE180"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12</w:t>
            </w:r>
          </w:p>
        </w:tc>
        <w:tc>
          <w:tcPr>
            <w:tcW w:w="236" w:type="dxa"/>
            <w:tcBorders>
              <w:top w:val="nil"/>
              <w:left w:val="nil"/>
              <w:bottom w:val="nil"/>
              <w:right w:val="nil"/>
            </w:tcBorders>
            <w:shd w:val="clear" w:color="auto" w:fill="auto"/>
            <w:noWrap/>
            <w:vAlign w:val="bottom"/>
            <w:hideMark/>
          </w:tcPr>
          <w:p w14:paraId="769ABCB8"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2946DB27" w14:textId="79C6D527" w:rsidR="00C07CD4" w:rsidRPr="002B2821" w:rsidRDefault="00701A08"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71" w:type="dxa"/>
            <w:tcBorders>
              <w:top w:val="nil"/>
              <w:left w:val="nil"/>
              <w:bottom w:val="nil"/>
              <w:right w:val="nil"/>
            </w:tcBorders>
            <w:shd w:val="clear" w:color="auto" w:fill="auto"/>
            <w:noWrap/>
            <w:vAlign w:val="bottom"/>
            <w:hideMark/>
          </w:tcPr>
          <w:p w14:paraId="1E5227D5"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50CEE6DA" w14:textId="103F44D0" w:rsidR="00C07CD4" w:rsidRPr="002B2821" w:rsidRDefault="00701A08"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10</w:t>
            </w:r>
          </w:p>
        </w:tc>
        <w:tc>
          <w:tcPr>
            <w:tcW w:w="296" w:type="dxa"/>
            <w:tcBorders>
              <w:top w:val="nil"/>
              <w:left w:val="nil"/>
              <w:bottom w:val="nil"/>
              <w:right w:val="nil"/>
            </w:tcBorders>
            <w:shd w:val="clear" w:color="auto" w:fill="auto"/>
            <w:noWrap/>
            <w:vAlign w:val="bottom"/>
            <w:hideMark/>
          </w:tcPr>
          <w:p w14:paraId="2C7B162F"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090ECC83"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22</w:t>
            </w:r>
          </w:p>
        </w:tc>
        <w:tc>
          <w:tcPr>
            <w:tcW w:w="416" w:type="dxa"/>
            <w:tcBorders>
              <w:top w:val="nil"/>
              <w:left w:val="nil"/>
              <w:bottom w:val="nil"/>
              <w:right w:val="nil"/>
            </w:tcBorders>
            <w:shd w:val="clear" w:color="auto" w:fill="auto"/>
            <w:noWrap/>
            <w:vAlign w:val="bottom"/>
            <w:hideMark/>
          </w:tcPr>
          <w:p w14:paraId="17C8835A"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53F58650" w14:textId="77777777" w:rsidTr="00C07CD4">
        <w:trPr>
          <w:trHeight w:val="255"/>
        </w:trPr>
        <w:tc>
          <w:tcPr>
            <w:tcW w:w="1145" w:type="dxa"/>
            <w:tcBorders>
              <w:top w:val="nil"/>
              <w:left w:val="nil"/>
              <w:bottom w:val="nil"/>
              <w:right w:val="nil"/>
            </w:tcBorders>
            <w:shd w:val="clear" w:color="auto" w:fill="auto"/>
            <w:noWrap/>
            <w:vAlign w:val="bottom"/>
            <w:hideMark/>
          </w:tcPr>
          <w:p w14:paraId="497ACD8B"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Disposals</w:t>
            </w:r>
          </w:p>
        </w:tc>
        <w:tc>
          <w:tcPr>
            <w:tcW w:w="816" w:type="dxa"/>
            <w:tcBorders>
              <w:top w:val="nil"/>
              <w:left w:val="nil"/>
              <w:bottom w:val="nil"/>
              <w:right w:val="nil"/>
            </w:tcBorders>
            <w:shd w:val="clear" w:color="auto" w:fill="auto"/>
            <w:noWrap/>
            <w:vAlign w:val="bottom"/>
            <w:hideMark/>
          </w:tcPr>
          <w:p w14:paraId="072C2A6A" w14:textId="77777777" w:rsidR="00C07CD4" w:rsidRPr="002B2821" w:rsidRDefault="00C07CD4" w:rsidP="00C07CD4">
            <w:pPr>
              <w:spacing w:after="0" w:line="240" w:lineRule="auto"/>
              <w:rPr>
                <w:rFonts w:ascii="Calibri" w:hAnsi="Calibri" w:cs="Arial"/>
                <w:color w:val="000000"/>
                <w:sz w:val="24"/>
                <w:szCs w:val="24"/>
                <w:lang w:eastAsia="en-GB"/>
              </w:rPr>
            </w:pPr>
          </w:p>
        </w:tc>
        <w:tc>
          <w:tcPr>
            <w:tcW w:w="896" w:type="dxa"/>
            <w:tcBorders>
              <w:top w:val="nil"/>
              <w:left w:val="nil"/>
              <w:bottom w:val="nil"/>
              <w:right w:val="nil"/>
            </w:tcBorders>
            <w:shd w:val="clear" w:color="auto" w:fill="auto"/>
            <w:noWrap/>
            <w:vAlign w:val="bottom"/>
            <w:hideMark/>
          </w:tcPr>
          <w:p w14:paraId="4463D19D"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446D5B36"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(24)</w:t>
            </w:r>
          </w:p>
        </w:tc>
        <w:tc>
          <w:tcPr>
            <w:tcW w:w="236" w:type="dxa"/>
            <w:tcBorders>
              <w:top w:val="nil"/>
              <w:left w:val="nil"/>
              <w:bottom w:val="nil"/>
              <w:right w:val="nil"/>
            </w:tcBorders>
            <w:shd w:val="clear" w:color="auto" w:fill="auto"/>
            <w:noWrap/>
            <w:vAlign w:val="bottom"/>
            <w:hideMark/>
          </w:tcPr>
          <w:p w14:paraId="32510507"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416" w:type="dxa"/>
            <w:tcBorders>
              <w:top w:val="nil"/>
              <w:left w:val="nil"/>
              <w:bottom w:val="nil"/>
              <w:right w:val="nil"/>
            </w:tcBorders>
            <w:shd w:val="clear" w:color="auto" w:fill="auto"/>
            <w:noWrap/>
            <w:vAlign w:val="bottom"/>
            <w:hideMark/>
          </w:tcPr>
          <w:p w14:paraId="693AB249" w14:textId="47128F14" w:rsidR="00C07CD4" w:rsidRPr="002B2821" w:rsidRDefault="00701A08"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71" w:type="dxa"/>
            <w:tcBorders>
              <w:top w:val="nil"/>
              <w:left w:val="nil"/>
              <w:bottom w:val="nil"/>
              <w:right w:val="nil"/>
            </w:tcBorders>
            <w:shd w:val="clear" w:color="auto" w:fill="auto"/>
            <w:noWrap/>
            <w:vAlign w:val="bottom"/>
            <w:hideMark/>
          </w:tcPr>
          <w:p w14:paraId="0BD68512"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1028" w:type="dxa"/>
            <w:tcBorders>
              <w:top w:val="nil"/>
              <w:left w:val="nil"/>
              <w:bottom w:val="nil"/>
              <w:right w:val="nil"/>
            </w:tcBorders>
            <w:shd w:val="clear" w:color="auto" w:fill="auto"/>
            <w:noWrap/>
            <w:vAlign w:val="bottom"/>
            <w:hideMark/>
          </w:tcPr>
          <w:p w14:paraId="3FBBC241"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96" w:type="dxa"/>
            <w:tcBorders>
              <w:top w:val="nil"/>
              <w:left w:val="nil"/>
              <w:bottom w:val="nil"/>
              <w:right w:val="nil"/>
            </w:tcBorders>
            <w:shd w:val="clear" w:color="auto" w:fill="auto"/>
            <w:noWrap/>
            <w:vAlign w:val="bottom"/>
            <w:hideMark/>
          </w:tcPr>
          <w:p w14:paraId="211812BA" w14:textId="77777777" w:rsidR="00C07CD4" w:rsidRPr="002B2821" w:rsidRDefault="00C07CD4" w:rsidP="00C07CD4">
            <w:pPr>
              <w:spacing w:after="0" w:line="240" w:lineRule="auto"/>
              <w:jc w:val="center"/>
              <w:rPr>
                <w:rFonts w:ascii="Calibri" w:hAnsi="Calibri" w:cs="Arial"/>
                <w:color w:val="000000"/>
                <w:sz w:val="24"/>
                <w:szCs w:val="24"/>
                <w:lang w:eastAsia="en-GB"/>
              </w:rPr>
            </w:pPr>
          </w:p>
        </w:tc>
        <w:tc>
          <w:tcPr>
            <w:tcW w:w="996" w:type="dxa"/>
            <w:tcBorders>
              <w:top w:val="nil"/>
              <w:left w:val="nil"/>
              <w:bottom w:val="nil"/>
              <w:right w:val="nil"/>
            </w:tcBorders>
            <w:shd w:val="clear" w:color="auto" w:fill="auto"/>
            <w:noWrap/>
            <w:vAlign w:val="bottom"/>
            <w:hideMark/>
          </w:tcPr>
          <w:p w14:paraId="33933E9D"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(24)</w:t>
            </w:r>
          </w:p>
        </w:tc>
        <w:tc>
          <w:tcPr>
            <w:tcW w:w="416" w:type="dxa"/>
            <w:tcBorders>
              <w:top w:val="nil"/>
              <w:left w:val="nil"/>
              <w:bottom w:val="nil"/>
              <w:right w:val="nil"/>
            </w:tcBorders>
            <w:shd w:val="clear" w:color="auto" w:fill="auto"/>
            <w:noWrap/>
            <w:vAlign w:val="bottom"/>
            <w:hideMark/>
          </w:tcPr>
          <w:p w14:paraId="32D5ED18"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3DAFEF0F"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0D2E87AD"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At 30 September 2018</w:t>
            </w:r>
          </w:p>
        </w:tc>
        <w:tc>
          <w:tcPr>
            <w:tcW w:w="1043" w:type="dxa"/>
            <w:tcBorders>
              <w:top w:val="single" w:sz="4" w:space="0" w:color="3C3C3C"/>
              <w:left w:val="nil"/>
              <w:bottom w:val="double" w:sz="6" w:space="0" w:color="3C3C3C"/>
              <w:right w:val="nil"/>
            </w:tcBorders>
            <w:shd w:val="clear" w:color="auto" w:fill="auto"/>
            <w:noWrap/>
            <w:vAlign w:val="bottom"/>
            <w:hideMark/>
          </w:tcPr>
          <w:p w14:paraId="4D17BECE"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17</w:t>
            </w:r>
          </w:p>
        </w:tc>
        <w:tc>
          <w:tcPr>
            <w:tcW w:w="236" w:type="dxa"/>
            <w:tcBorders>
              <w:top w:val="single" w:sz="4" w:space="0" w:color="3C3C3C"/>
              <w:left w:val="nil"/>
              <w:bottom w:val="double" w:sz="6" w:space="0" w:color="3C3C3C"/>
              <w:right w:val="nil"/>
            </w:tcBorders>
            <w:shd w:val="clear" w:color="auto" w:fill="auto"/>
            <w:noWrap/>
            <w:vAlign w:val="bottom"/>
            <w:hideMark/>
          </w:tcPr>
          <w:p w14:paraId="22FFBF34"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416" w:type="dxa"/>
            <w:tcBorders>
              <w:top w:val="single" w:sz="4" w:space="0" w:color="3C3C3C"/>
              <w:left w:val="nil"/>
              <w:bottom w:val="double" w:sz="6" w:space="0" w:color="3C3C3C"/>
              <w:right w:val="nil"/>
            </w:tcBorders>
            <w:shd w:val="clear" w:color="auto" w:fill="auto"/>
            <w:noWrap/>
            <w:vAlign w:val="bottom"/>
            <w:hideMark/>
          </w:tcPr>
          <w:p w14:paraId="4856E39D" w14:textId="1A4A1394" w:rsidR="00C07CD4" w:rsidRPr="002B2821" w:rsidRDefault="00701A08"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9</w:t>
            </w:r>
          </w:p>
        </w:tc>
        <w:tc>
          <w:tcPr>
            <w:tcW w:w="271" w:type="dxa"/>
            <w:tcBorders>
              <w:top w:val="single" w:sz="4" w:space="0" w:color="3C3C3C"/>
              <w:left w:val="nil"/>
              <w:bottom w:val="double" w:sz="6" w:space="0" w:color="3C3C3C"/>
              <w:right w:val="nil"/>
            </w:tcBorders>
            <w:shd w:val="clear" w:color="auto" w:fill="auto"/>
            <w:noWrap/>
            <w:vAlign w:val="bottom"/>
            <w:hideMark/>
          </w:tcPr>
          <w:p w14:paraId="4866E0F1"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1028" w:type="dxa"/>
            <w:tcBorders>
              <w:top w:val="single" w:sz="4" w:space="0" w:color="3C3C3C"/>
              <w:left w:val="nil"/>
              <w:bottom w:val="double" w:sz="6" w:space="0" w:color="3C3C3C"/>
              <w:right w:val="nil"/>
            </w:tcBorders>
            <w:shd w:val="clear" w:color="auto" w:fill="auto"/>
            <w:noWrap/>
            <w:vAlign w:val="bottom"/>
            <w:hideMark/>
          </w:tcPr>
          <w:p w14:paraId="2DD04E66" w14:textId="329C39EA" w:rsidR="00C07CD4" w:rsidRPr="002B2821" w:rsidRDefault="00701A08"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147</w:t>
            </w:r>
          </w:p>
        </w:tc>
        <w:tc>
          <w:tcPr>
            <w:tcW w:w="296" w:type="dxa"/>
            <w:tcBorders>
              <w:top w:val="single" w:sz="4" w:space="0" w:color="3C3C3C"/>
              <w:left w:val="nil"/>
              <w:bottom w:val="double" w:sz="6" w:space="0" w:color="3C3C3C"/>
              <w:right w:val="nil"/>
            </w:tcBorders>
            <w:shd w:val="clear" w:color="auto" w:fill="auto"/>
            <w:noWrap/>
            <w:vAlign w:val="bottom"/>
            <w:hideMark/>
          </w:tcPr>
          <w:p w14:paraId="2B5C7885"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996" w:type="dxa"/>
            <w:tcBorders>
              <w:top w:val="single" w:sz="4" w:space="0" w:color="3C3C3C"/>
              <w:left w:val="nil"/>
              <w:bottom w:val="double" w:sz="6" w:space="0" w:color="3C3C3C"/>
              <w:right w:val="nil"/>
            </w:tcBorders>
            <w:shd w:val="clear" w:color="auto" w:fill="auto"/>
            <w:noWrap/>
            <w:vAlign w:val="bottom"/>
            <w:hideMark/>
          </w:tcPr>
          <w:p w14:paraId="15885B83"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173</w:t>
            </w:r>
          </w:p>
        </w:tc>
        <w:tc>
          <w:tcPr>
            <w:tcW w:w="416" w:type="dxa"/>
            <w:tcBorders>
              <w:top w:val="nil"/>
              <w:left w:val="nil"/>
              <w:bottom w:val="nil"/>
              <w:right w:val="nil"/>
            </w:tcBorders>
            <w:shd w:val="clear" w:color="auto" w:fill="auto"/>
            <w:noWrap/>
            <w:vAlign w:val="bottom"/>
            <w:hideMark/>
          </w:tcPr>
          <w:p w14:paraId="2B2B7839"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3FEF792A" w14:textId="77777777" w:rsidTr="00C07CD4">
        <w:trPr>
          <w:trHeight w:val="203"/>
        </w:trPr>
        <w:tc>
          <w:tcPr>
            <w:tcW w:w="1145" w:type="dxa"/>
            <w:tcBorders>
              <w:top w:val="nil"/>
              <w:left w:val="nil"/>
              <w:bottom w:val="nil"/>
              <w:right w:val="nil"/>
            </w:tcBorders>
            <w:shd w:val="clear" w:color="auto" w:fill="auto"/>
            <w:noWrap/>
            <w:vAlign w:val="bottom"/>
            <w:hideMark/>
          </w:tcPr>
          <w:p w14:paraId="2172EFD0" w14:textId="77777777" w:rsidR="00C07CD4" w:rsidRPr="002B2821" w:rsidRDefault="00C07CD4" w:rsidP="00C07CD4">
            <w:pPr>
              <w:spacing w:after="0" w:line="240" w:lineRule="auto"/>
              <w:rPr>
                <w:lang w:eastAsia="en-GB"/>
              </w:rPr>
            </w:pPr>
          </w:p>
        </w:tc>
        <w:tc>
          <w:tcPr>
            <w:tcW w:w="816" w:type="dxa"/>
            <w:tcBorders>
              <w:top w:val="nil"/>
              <w:left w:val="nil"/>
              <w:bottom w:val="nil"/>
              <w:right w:val="nil"/>
            </w:tcBorders>
            <w:shd w:val="clear" w:color="auto" w:fill="auto"/>
            <w:noWrap/>
            <w:vAlign w:val="bottom"/>
            <w:hideMark/>
          </w:tcPr>
          <w:p w14:paraId="5166BE7A" w14:textId="77777777" w:rsidR="00C07CD4" w:rsidRPr="002B2821" w:rsidRDefault="00C07CD4" w:rsidP="00C07CD4">
            <w:pPr>
              <w:spacing w:after="0" w:line="240" w:lineRule="auto"/>
              <w:rPr>
                <w:lang w:eastAsia="en-GB"/>
              </w:rPr>
            </w:pPr>
          </w:p>
        </w:tc>
        <w:tc>
          <w:tcPr>
            <w:tcW w:w="896" w:type="dxa"/>
            <w:tcBorders>
              <w:top w:val="nil"/>
              <w:left w:val="nil"/>
              <w:bottom w:val="nil"/>
              <w:right w:val="nil"/>
            </w:tcBorders>
            <w:shd w:val="clear" w:color="auto" w:fill="auto"/>
            <w:noWrap/>
            <w:vAlign w:val="bottom"/>
            <w:hideMark/>
          </w:tcPr>
          <w:p w14:paraId="6DA625D6" w14:textId="77777777" w:rsidR="00C07CD4" w:rsidRPr="002B2821" w:rsidRDefault="00C07CD4" w:rsidP="00C07CD4">
            <w:pPr>
              <w:spacing w:after="0" w:line="240" w:lineRule="auto"/>
              <w:rPr>
                <w:lang w:eastAsia="en-GB"/>
              </w:rPr>
            </w:pPr>
          </w:p>
        </w:tc>
        <w:tc>
          <w:tcPr>
            <w:tcW w:w="1043" w:type="dxa"/>
            <w:tcBorders>
              <w:top w:val="nil"/>
              <w:left w:val="nil"/>
              <w:bottom w:val="nil"/>
              <w:right w:val="nil"/>
            </w:tcBorders>
            <w:shd w:val="clear" w:color="auto" w:fill="auto"/>
            <w:noWrap/>
            <w:vAlign w:val="bottom"/>
            <w:hideMark/>
          </w:tcPr>
          <w:p w14:paraId="1A066294"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02008789" w14:textId="77777777" w:rsidR="00C07CD4" w:rsidRPr="002B2821" w:rsidRDefault="00C07CD4" w:rsidP="00C07CD4">
            <w:pPr>
              <w:spacing w:after="0" w:line="240" w:lineRule="auto"/>
              <w:jc w:val="center"/>
              <w:rPr>
                <w:lang w:eastAsia="en-GB"/>
              </w:rPr>
            </w:pPr>
          </w:p>
        </w:tc>
        <w:tc>
          <w:tcPr>
            <w:tcW w:w="1416" w:type="dxa"/>
            <w:tcBorders>
              <w:top w:val="nil"/>
              <w:left w:val="nil"/>
              <w:bottom w:val="nil"/>
              <w:right w:val="nil"/>
            </w:tcBorders>
            <w:shd w:val="clear" w:color="auto" w:fill="auto"/>
            <w:noWrap/>
            <w:vAlign w:val="bottom"/>
            <w:hideMark/>
          </w:tcPr>
          <w:p w14:paraId="695C35FC" w14:textId="77777777" w:rsidR="00C07CD4" w:rsidRPr="002B2821" w:rsidRDefault="00C07CD4" w:rsidP="00C07CD4">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118FECA1" w14:textId="77777777" w:rsidR="00C07CD4" w:rsidRPr="002B2821" w:rsidRDefault="00C07CD4" w:rsidP="00C07CD4">
            <w:pPr>
              <w:spacing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59758C11" w14:textId="77777777" w:rsidR="00C07CD4" w:rsidRPr="002B2821" w:rsidRDefault="00C07CD4" w:rsidP="00C07CD4">
            <w:pPr>
              <w:spacing w:after="0" w:line="240" w:lineRule="auto"/>
              <w:rPr>
                <w:lang w:eastAsia="en-GB"/>
              </w:rPr>
            </w:pPr>
          </w:p>
        </w:tc>
        <w:tc>
          <w:tcPr>
            <w:tcW w:w="296" w:type="dxa"/>
            <w:tcBorders>
              <w:top w:val="nil"/>
              <w:left w:val="nil"/>
              <w:bottom w:val="nil"/>
              <w:right w:val="nil"/>
            </w:tcBorders>
            <w:shd w:val="clear" w:color="auto" w:fill="auto"/>
            <w:noWrap/>
            <w:vAlign w:val="bottom"/>
            <w:hideMark/>
          </w:tcPr>
          <w:p w14:paraId="0D8B4F21"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34676E7E" w14:textId="77777777" w:rsidR="00C07CD4" w:rsidRPr="002B2821" w:rsidRDefault="00C07CD4" w:rsidP="00C07CD4">
            <w:pPr>
              <w:spacing w:after="0" w:line="240" w:lineRule="auto"/>
              <w:rPr>
                <w:lang w:eastAsia="en-GB"/>
              </w:rPr>
            </w:pPr>
          </w:p>
        </w:tc>
        <w:tc>
          <w:tcPr>
            <w:tcW w:w="416" w:type="dxa"/>
            <w:tcBorders>
              <w:top w:val="nil"/>
              <w:left w:val="nil"/>
              <w:bottom w:val="nil"/>
              <w:right w:val="nil"/>
            </w:tcBorders>
            <w:shd w:val="clear" w:color="auto" w:fill="auto"/>
            <w:noWrap/>
            <w:vAlign w:val="bottom"/>
            <w:hideMark/>
          </w:tcPr>
          <w:p w14:paraId="7F06B8E1" w14:textId="77777777" w:rsidR="00C07CD4" w:rsidRPr="002B2821" w:rsidRDefault="00C07CD4" w:rsidP="00C07CD4">
            <w:pPr>
              <w:spacing w:after="0" w:line="240" w:lineRule="auto"/>
              <w:jc w:val="center"/>
              <w:rPr>
                <w:lang w:eastAsia="en-GB"/>
              </w:rPr>
            </w:pPr>
          </w:p>
        </w:tc>
      </w:tr>
      <w:tr w:rsidR="00C07CD4" w:rsidRPr="002B2821" w14:paraId="342AA337" w14:textId="77777777" w:rsidTr="00C07CD4">
        <w:trPr>
          <w:trHeight w:val="255"/>
        </w:trPr>
        <w:tc>
          <w:tcPr>
            <w:tcW w:w="1961" w:type="dxa"/>
            <w:gridSpan w:val="2"/>
            <w:tcBorders>
              <w:top w:val="nil"/>
              <w:left w:val="nil"/>
              <w:bottom w:val="nil"/>
              <w:right w:val="nil"/>
            </w:tcBorders>
            <w:shd w:val="clear" w:color="auto" w:fill="auto"/>
            <w:noWrap/>
            <w:vAlign w:val="bottom"/>
            <w:hideMark/>
          </w:tcPr>
          <w:p w14:paraId="6108099C"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Net book value </w:t>
            </w:r>
          </w:p>
        </w:tc>
        <w:tc>
          <w:tcPr>
            <w:tcW w:w="896" w:type="dxa"/>
            <w:tcBorders>
              <w:top w:val="nil"/>
              <w:left w:val="nil"/>
              <w:bottom w:val="nil"/>
              <w:right w:val="nil"/>
            </w:tcBorders>
            <w:shd w:val="clear" w:color="auto" w:fill="auto"/>
            <w:noWrap/>
            <w:vAlign w:val="bottom"/>
            <w:hideMark/>
          </w:tcPr>
          <w:p w14:paraId="0C659F36"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1043" w:type="dxa"/>
            <w:tcBorders>
              <w:top w:val="nil"/>
              <w:left w:val="nil"/>
              <w:bottom w:val="nil"/>
              <w:right w:val="nil"/>
            </w:tcBorders>
            <w:shd w:val="clear" w:color="auto" w:fill="auto"/>
            <w:noWrap/>
            <w:vAlign w:val="bottom"/>
            <w:hideMark/>
          </w:tcPr>
          <w:p w14:paraId="31997F8F"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8BF597A" w14:textId="77777777" w:rsidR="00C07CD4" w:rsidRPr="002B2821" w:rsidRDefault="00C07CD4" w:rsidP="00C07CD4">
            <w:pPr>
              <w:spacing w:after="0" w:line="240" w:lineRule="auto"/>
              <w:jc w:val="center"/>
              <w:rPr>
                <w:lang w:eastAsia="en-GB"/>
              </w:rPr>
            </w:pPr>
          </w:p>
        </w:tc>
        <w:tc>
          <w:tcPr>
            <w:tcW w:w="1416" w:type="dxa"/>
            <w:tcBorders>
              <w:top w:val="nil"/>
              <w:left w:val="nil"/>
              <w:bottom w:val="nil"/>
              <w:right w:val="nil"/>
            </w:tcBorders>
            <w:shd w:val="clear" w:color="auto" w:fill="auto"/>
            <w:noWrap/>
            <w:vAlign w:val="bottom"/>
            <w:hideMark/>
          </w:tcPr>
          <w:p w14:paraId="0FD896EF" w14:textId="77777777" w:rsidR="00C07CD4" w:rsidRPr="002B2821" w:rsidRDefault="00C07CD4" w:rsidP="00C07CD4">
            <w:pPr>
              <w:spacing w:after="0" w:line="240" w:lineRule="auto"/>
              <w:rPr>
                <w:lang w:eastAsia="en-GB"/>
              </w:rPr>
            </w:pPr>
          </w:p>
        </w:tc>
        <w:tc>
          <w:tcPr>
            <w:tcW w:w="271" w:type="dxa"/>
            <w:tcBorders>
              <w:top w:val="nil"/>
              <w:left w:val="nil"/>
              <w:bottom w:val="nil"/>
              <w:right w:val="nil"/>
            </w:tcBorders>
            <w:shd w:val="clear" w:color="auto" w:fill="auto"/>
            <w:noWrap/>
            <w:vAlign w:val="bottom"/>
            <w:hideMark/>
          </w:tcPr>
          <w:p w14:paraId="0322FABC" w14:textId="77777777" w:rsidR="00C07CD4" w:rsidRPr="002B2821" w:rsidRDefault="00C07CD4" w:rsidP="00C07CD4">
            <w:pPr>
              <w:spacing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6FF9C2B4" w14:textId="77777777" w:rsidR="00C07CD4" w:rsidRPr="002B2821" w:rsidRDefault="00C07CD4" w:rsidP="00C07CD4">
            <w:pPr>
              <w:spacing w:after="0" w:line="240" w:lineRule="auto"/>
              <w:rPr>
                <w:lang w:eastAsia="en-GB"/>
              </w:rPr>
            </w:pPr>
          </w:p>
        </w:tc>
        <w:tc>
          <w:tcPr>
            <w:tcW w:w="296" w:type="dxa"/>
            <w:tcBorders>
              <w:top w:val="nil"/>
              <w:left w:val="nil"/>
              <w:bottom w:val="nil"/>
              <w:right w:val="nil"/>
            </w:tcBorders>
            <w:shd w:val="clear" w:color="auto" w:fill="auto"/>
            <w:noWrap/>
            <w:vAlign w:val="bottom"/>
            <w:hideMark/>
          </w:tcPr>
          <w:p w14:paraId="5BAF6D60" w14:textId="77777777" w:rsidR="00C07CD4" w:rsidRPr="002B2821" w:rsidRDefault="00C07CD4" w:rsidP="00C07CD4">
            <w:pPr>
              <w:spacing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7403E1B3" w14:textId="77777777" w:rsidR="00C07CD4" w:rsidRPr="002B2821" w:rsidRDefault="00C07CD4" w:rsidP="00C07CD4">
            <w:pPr>
              <w:spacing w:after="0" w:line="240" w:lineRule="auto"/>
              <w:rPr>
                <w:lang w:eastAsia="en-GB"/>
              </w:rPr>
            </w:pPr>
          </w:p>
        </w:tc>
        <w:tc>
          <w:tcPr>
            <w:tcW w:w="416" w:type="dxa"/>
            <w:tcBorders>
              <w:top w:val="nil"/>
              <w:left w:val="nil"/>
              <w:bottom w:val="nil"/>
              <w:right w:val="nil"/>
            </w:tcBorders>
            <w:shd w:val="clear" w:color="auto" w:fill="auto"/>
            <w:noWrap/>
            <w:vAlign w:val="bottom"/>
            <w:hideMark/>
          </w:tcPr>
          <w:p w14:paraId="53F68A76" w14:textId="77777777" w:rsidR="00C07CD4" w:rsidRPr="002B2821" w:rsidRDefault="00C07CD4" w:rsidP="00C07CD4">
            <w:pPr>
              <w:spacing w:after="0" w:line="240" w:lineRule="auto"/>
              <w:jc w:val="center"/>
              <w:rPr>
                <w:lang w:eastAsia="en-GB"/>
              </w:rPr>
            </w:pPr>
          </w:p>
        </w:tc>
      </w:tr>
      <w:tr w:rsidR="00C07CD4" w:rsidRPr="002B2821" w14:paraId="3DD80833"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62C4405B"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At 30 September 2018</w:t>
            </w:r>
          </w:p>
        </w:tc>
        <w:tc>
          <w:tcPr>
            <w:tcW w:w="1043" w:type="dxa"/>
            <w:tcBorders>
              <w:top w:val="nil"/>
              <w:left w:val="nil"/>
              <w:bottom w:val="single" w:sz="4" w:space="0" w:color="3C3C3C"/>
              <w:right w:val="nil"/>
            </w:tcBorders>
            <w:shd w:val="clear" w:color="auto" w:fill="auto"/>
            <w:noWrap/>
            <w:vAlign w:val="bottom"/>
            <w:hideMark/>
          </w:tcPr>
          <w:p w14:paraId="1DE5D8EC"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29</w:t>
            </w:r>
          </w:p>
        </w:tc>
        <w:tc>
          <w:tcPr>
            <w:tcW w:w="236" w:type="dxa"/>
            <w:tcBorders>
              <w:top w:val="nil"/>
              <w:left w:val="nil"/>
              <w:bottom w:val="single" w:sz="4" w:space="0" w:color="3C3C3C"/>
              <w:right w:val="nil"/>
            </w:tcBorders>
            <w:shd w:val="clear" w:color="auto" w:fill="auto"/>
            <w:noWrap/>
            <w:vAlign w:val="bottom"/>
            <w:hideMark/>
          </w:tcPr>
          <w:p w14:paraId="15BFA4DD"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1416" w:type="dxa"/>
            <w:tcBorders>
              <w:top w:val="nil"/>
              <w:left w:val="nil"/>
              <w:bottom w:val="single" w:sz="4" w:space="0" w:color="3C3C3C"/>
              <w:right w:val="nil"/>
            </w:tcBorders>
            <w:shd w:val="clear" w:color="auto" w:fill="auto"/>
            <w:noWrap/>
            <w:vAlign w:val="bottom"/>
            <w:hideMark/>
          </w:tcPr>
          <w:p w14:paraId="74245E91" w14:textId="27BEE885" w:rsidR="00C07CD4" w:rsidRPr="002B2821" w:rsidRDefault="00701A08"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0</w:t>
            </w:r>
          </w:p>
        </w:tc>
        <w:tc>
          <w:tcPr>
            <w:tcW w:w="271" w:type="dxa"/>
            <w:tcBorders>
              <w:top w:val="nil"/>
              <w:left w:val="nil"/>
              <w:bottom w:val="single" w:sz="4" w:space="0" w:color="3C3C3C"/>
              <w:right w:val="nil"/>
            </w:tcBorders>
            <w:shd w:val="clear" w:color="auto" w:fill="auto"/>
            <w:noWrap/>
            <w:vAlign w:val="bottom"/>
            <w:hideMark/>
          </w:tcPr>
          <w:p w14:paraId="324CC7EE"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1028" w:type="dxa"/>
            <w:tcBorders>
              <w:top w:val="nil"/>
              <w:left w:val="nil"/>
              <w:bottom w:val="single" w:sz="4" w:space="0" w:color="3C3C3C"/>
              <w:right w:val="nil"/>
            </w:tcBorders>
            <w:shd w:val="clear" w:color="auto" w:fill="auto"/>
            <w:noWrap/>
            <w:vAlign w:val="bottom"/>
            <w:hideMark/>
          </w:tcPr>
          <w:p w14:paraId="469EB4A0" w14:textId="11D7A035" w:rsidR="00C07CD4" w:rsidRPr="002B2821" w:rsidRDefault="00C07CD4" w:rsidP="00701A08">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31</w:t>
            </w:r>
            <w:r w:rsidR="00701A08" w:rsidRPr="002B2821">
              <w:rPr>
                <w:rFonts w:ascii="Calibri" w:hAnsi="Calibri" w:cs="Arial"/>
                <w:b/>
                <w:bCs/>
                <w:color w:val="000000"/>
                <w:sz w:val="24"/>
                <w:szCs w:val="24"/>
                <w:lang w:eastAsia="en-GB"/>
              </w:rPr>
              <w:t>8</w:t>
            </w:r>
          </w:p>
        </w:tc>
        <w:tc>
          <w:tcPr>
            <w:tcW w:w="296" w:type="dxa"/>
            <w:tcBorders>
              <w:top w:val="nil"/>
              <w:left w:val="nil"/>
              <w:bottom w:val="single" w:sz="4" w:space="0" w:color="3C3C3C"/>
              <w:right w:val="nil"/>
            </w:tcBorders>
            <w:shd w:val="clear" w:color="auto" w:fill="auto"/>
            <w:noWrap/>
            <w:vAlign w:val="bottom"/>
            <w:hideMark/>
          </w:tcPr>
          <w:p w14:paraId="51843CAF"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 </w:t>
            </w:r>
          </w:p>
        </w:tc>
        <w:tc>
          <w:tcPr>
            <w:tcW w:w="996" w:type="dxa"/>
            <w:tcBorders>
              <w:top w:val="nil"/>
              <w:left w:val="nil"/>
              <w:bottom w:val="single" w:sz="4" w:space="0" w:color="3C3C3C"/>
              <w:right w:val="nil"/>
            </w:tcBorders>
            <w:shd w:val="clear" w:color="auto" w:fill="auto"/>
            <w:noWrap/>
            <w:vAlign w:val="bottom"/>
            <w:hideMark/>
          </w:tcPr>
          <w:p w14:paraId="5918E841" w14:textId="77777777" w:rsidR="00C07CD4" w:rsidRPr="002B2821" w:rsidRDefault="00C07CD4" w:rsidP="00C07CD4">
            <w:pPr>
              <w:spacing w:after="0" w:line="240" w:lineRule="auto"/>
              <w:jc w:val="center"/>
              <w:rPr>
                <w:rFonts w:ascii="Calibri" w:hAnsi="Calibri" w:cs="Arial"/>
                <w:b/>
                <w:bCs/>
                <w:color w:val="000000"/>
                <w:sz w:val="24"/>
                <w:szCs w:val="24"/>
                <w:lang w:eastAsia="en-GB"/>
              </w:rPr>
            </w:pPr>
            <w:r w:rsidRPr="002B2821">
              <w:rPr>
                <w:rFonts w:ascii="Calibri" w:hAnsi="Calibri" w:cs="Arial"/>
                <w:b/>
                <w:bCs/>
                <w:color w:val="000000"/>
                <w:sz w:val="24"/>
                <w:szCs w:val="24"/>
                <w:lang w:eastAsia="en-GB"/>
              </w:rPr>
              <w:t>347</w:t>
            </w:r>
          </w:p>
        </w:tc>
        <w:tc>
          <w:tcPr>
            <w:tcW w:w="416" w:type="dxa"/>
            <w:tcBorders>
              <w:top w:val="nil"/>
              <w:left w:val="nil"/>
              <w:bottom w:val="nil"/>
              <w:right w:val="nil"/>
            </w:tcBorders>
            <w:shd w:val="clear" w:color="auto" w:fill="auto"/>
            <w:noWrap/>
            <w:vAlign w:val="bottom"/>
            <w:hideMark/>
          </w:tcPr>
          <w:p w14:paraId="2B92E7EC" w14:textId="77777777" w:rsidR="00C07CD4" w:rsidRPr="002B2821" w:rsidRDefault="00C07CD4" w:rsidP="00C07CD4">
            <w:pPr>
              <w:spacing w:after="0" w:line="240" w:lineRule="auto"/>
              <w:jc w:val="center"/>
              <w:rPr>
                <w:rFonts w:ascii="Calibri" w:hAnsi="Calibri" w:cs="Arial"/>
                <w:b/>
                <w:bCs/>
                <w:color w:val="000000"/>
                <w:sz w:val="24"/>
                <w:szCs w:val="24"/>
                <w:lang w:eastAsia="en-GB"/>
              </w:rPr>
            </w:pPr>
          </w:p>
        </w:tc>
      </w:tr>
      <w:tr w:rsidR="00C07CD4" w:rsidRPr="002B2821" w14:paraId="18C89FF9" w14:textId="77777777" w:rsidTr="00C07CD4">
        <w:trPr>
          <w:trHeight w:val="255"/>
        </w:trPr>
        <w:tc>
          <w:tcPr>
            <w:tcW w:w="2857" w:type="dxa"/>
            <w:gridSpan w:val="3"/>
            <w:tcBorders>
              <w:top w:val="nil"/>
              <w:left w:val="nil"/>
              <w:bottom w:val="nil"/>
              <w:right w:val="nil"/>
            </w:tcBorders>
            <w:shd w:val="clear" w:color="auto" w:fill="auto"/>
            <w:noWrap/>
            <w:vAlign w:val="bottom"/>
            <w:hideMark/>
          </w:tcPr>
          <w:p w14:paraId="23BF6099"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30 September 2017</w:t>
            </w:r>
          </w:p>
        </w:tc>
        <w:tc>
          <w:tcPr>
            <w:tcW w:w="1043" w:type="dxa"/>
            <w:tcBorders>
              <w:top w:val="nil"/>
              <w:left w:val="nil"/>
              <w:bottom w:val="single" w:sz="4" w:space="0" w:color="3C3C3C"/>
              <w:right w:val="nil"/>
            </w:tcBorders>
            <w:shd w:val="clear" w:color="auto" w:fill="auto"/>
            <w:noWrap/>
            <w:vAlign w:val="bottom"/>
            <w:hideMark/>
          </w:tcPr>
          <w:p w14:paraId="7FE99FC6"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40</w:t>
            </w:r>
          </w:p>
        </w:tc>
        <w:tc>
          <w:tcPr>
            <w:tcW w:w="236" w:type="dxa"/>
            <w:tcBorders>
              <w:top w:val="nil"/>
              <w:left w:val="nil"/>
              <w:bottom w:val="single" w:sz="4" w:space="0" w:color="3C3C3C"/>
              <w:right w:val="nil"/>
            </w:tcBorders>
            <w:shd w:val="clear" w:color="auto" w:fill="auto"/>
            <w:noWrap/>
            <w:vAlign w:val="bottom"/>
            <w:hideMark/>
          </w:tcPr>
          <w:p w14:paraId="40A37919"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416" w:type="dxa"/>
            <w:tcBorders>
              <w:top w:val="nil"/>
              <w:left w:val="nil"/>
              <w:bottom w:val="single" w:sz="4" w:space="0" w:color="3C3C3C"/>
              <w:right w:val="nil"/>
            </w:tcBorders>
            <w:shd w:val="clear" w:color="auto" w:fill="auto"/>
            <w:noWrap/>
            <w:vAlign w:val="bottom"/>
            <w:hideMark/>
          </w:tcPr>
          <w:p w14:paraId="5A698BD2"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0</w:t>
            </w:r>
          </w:p>
        </w:tc>
        <w:tc>
          <w:tcPr>
            <w:tcW w:w="271" w:type="dxa"/>
            <w:tcBorders>
              <w:top w:val="nil"/>
              <w:left w:val="nil"/>
              <w:bottom w:val="single" w:sz="4" w:space="0" w:color="3C3C3C"/>
              <w:right w:val="nil"/>
            </w:tcBorders>
            <w:shd w:val="clear" w:color="auto" w:fill="auto"/>
            <w:noWrap/>
            <w:vAlign w:val="bottom"/>
            <w:hideMark/>
          </w:tcPr>
          <w:p w14:paraId="1E25EC08"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028" w:type="dxa"/>
            <w:tcBorders>
              <w:top w:val="nil"/>
              <w:left w:val="nil"/>
              <w:bottom w:val="single" w:sz="4" w:space="0" w:color="3C3C3C"/>
              <w:right w:val="nil"/>
            </w:tcBorders>
            <w:shd w:val="clear" w:color="auto" w:fill="auto"/>
            <w:noWrap/>
            <w:vAlign w:val="bottom"/>
            <w:hideMark/>
          </w:tcPr>
          <w:p w14:paraId="2FDCA23C"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328</w:t>
            </w:r>
          </w:p>
        </w:tc>
        <w:tc>
          <w:tcPr>
            <w:tcW w:w="296" w:type="dxa"/>
            <w:tcBorders>
              <w:top w:val="nil"/>
              <w:left w:val="nil"/>
              <w:bottom w:val="single" w:sz="4" w:space="0" w:color="3C3C3C"/>
              <w:right w:val="nil"/>
            </w:tcBorders>
            <w:shd w:val="clear" w:color="auto" w:fill="auto"/>
            <w:noWrap/>
            <w:vAlign w:val="bottom"/>
            <w:hideMark/>
          </w:tcPr>
          <w:p w14:paraId="3E489B88"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996" w:type="dxa"/>
            <w:tcBorders>
              <w:top w:val="nil"/>
              <w:left w:val="nil"/>
              <w:bottom w:val="single" w:sz="4" w:space="0" w:color="3C3C3C"/>
              <w:right w:val="nil"/>
            </w:tcBorders>
            <w:shd w:val="clear" w:color="auto" w:fill="auto"/>
            <w:noWrap/>
            <w:vAlign w:val="bottom"/>
            <w:hideMark/>
          </w:tcPr>
          <w:p w14:paraId="0283920B" w14:textId="77777777" w:rsidR="00C07CD4" w:rsidRPr="002B2821" w:rsidRDefault="00C07CD4" w:rsidP="00C07CD4">
            <w:pPr>
              <w:spacing w:after="0" w:line="240" w:lineRule="auto"/>
              <w:jc w:val="center"/>
              <w:rPr>
                <w:rFonts w:ascii="Calibri" w:hAnsi="Calibri" w:cs="Arial"/>
                <w:color w:val="000000"/>
                <w:sz w:val="24"/>
                <w:szCs w:val="24"/>
                <w:lang w:eastAsia="en-GB"/>
              </w:rPr>
            </w:pPr>
            <w:r w:rsidRPr="002B2821">
              <w:rPr>
                <w:rFonts w:ascii="Calibri" w:hAnsi="Calibri" w:cs="Arial"/>
                <w:color w:val="000000"/>
                <w:sz w:val="24"/>
                <w:szCs w:val="24"/>
                <w:lang w:eastAsia="en-GB"/>
              </w:rPr>
              <w:t>368</w:t>
            </w:r>
          </w:p>
        </w:tc>
        <w:tc>
          <w:tcPr>
            <w:tcW w:w="416" w:type="dxa"/>
            <w:tcBorders>
              <w:top w:val="nil"/>
              <w:left w:val="nil"/>
              <w:bottom w:val="nil"/>
              <w:right w:val="nil"/>
            </w:tcBorders>
            <w:shd w:val="clear" w:color="auto" w:fill="auto"/>
            <w:noWrap/>
            <w:vAlign w:val="bottom"/>
            <w:hideMark/>
          </w:tcPr>
          <w:p w14:paraId="0C86571D" w14:textId="77777777" w:rsidR="00C07CD4" w:rsidRPr="002B2821" w:rsidRDefault="00C07CD4" w:rsidP="00C07CD4">
            <w:pPr>
              <w:spacing w:after="0" w:line="240" w:lineRule="auto"/>
              <w:jc w:val="center"/>
              <w:rPr>
                <w:rFonts w:ascii="Calibri" w:hAnsi="Calibri" w:cs="Arial"/>
                <w:color w:val="000000"/>
                <w:sz w:val="24"/>
                <w:szCs w:val="24"/>
                <w:lang w:eastAsia="en-GB"/>
              </w:rPr>
            </w:pPr>
          </w:p>
        </w:tc>
      </w:tr>
      <w:tr w:rsidR="00C07CD4" w:rsidRPr="002B2821" w14:paraId="2B3515D7" w14:textId="77777777" w:rsidTr="00C07CD4">
        <w:trPr>
          <w:trHeight w:val="315"/>
        </w:trPr>
        <w:tc>
          <w:tcPr>
            <w:tcW w:w="1145" w:type="dxa"/>
            <w:tcBorders>
              <w:top w:val="nil"/>
              <w:left w:val="nil"/>
              <w:bottom w:val="nil"/>
              <w:right w:val="nil"/>
            </w:tcBorders>
            <w:shd w:val="clear" w:color="auto" w:fill="auto"/>
            <w:noWrap/>
            <w:vAlign w:val="bottom"/>
            <w:hideMark/>
          </w:tcPr>
          <w:p w14:paraId="63ADD2E9" w14:textId="77777777" w:rsidR="00C07CD4" w:rsidRPr="002B2821" w:rsidRDefault="00C07CD4" w:rsidP="00D94BB1">
            <w:pPr>
              <w:spacing w:before="120" w:after="0" w:line="240" w:lineRule="auto"/>
              <w:rPr>
                <w:lang w:eastAsia="en-GB"/>
              </w:rPr>
            </w:pPr>
          </w:p>
        </w:tc>
        <w:tc>
          <w:tcPr>
            <w:tcW w:w="816" w:type="dxa"/>
            <w:tcBorders>
              <w:top w:val="nil"/>
              <w:left w:val="nil"/>
              <w:bottom w:val="nil"/>
              <w:right w:val="nil"/>
            </w:tcBorders>
            <w:shd w:val="clear" w:color="auto" w:fill="auto"/>
            <w:noWrap/>
            <w:vAlign w:val="bottom"/>
            <w:hideMark/>
          </w:tcPr>
          <w:p w14:paraId="1E811FD5" w14:textId="77777777" w:rsidR="00C07CD4" w:rsidRPr="002B2821" w:rsidRDefault="00C07CD4" w:rsidP="00D94BB1">
            <w:pPr>
              <w:spacing w:before="120" w:after="0" w:line="240" w:lineRule="auto"/>
              <w:rPr>
                <w:lang w:eastAsia="en-GB"/>
              </w:rPr>
            </w:pPr>
          </w:p>
        </w:tc>
        <w:tc>
          <w:tcPr>
            <w:tcW w:w="896" w:type="dxa"/>
            <w:tcBorders>
              <w:top w:val="nil"/>
              <w:left w:val="nil"/>
              <w:bottom w:val="nil"/>
              <w:right w:val="nil"/>
            </w:tcBorders>
            <w:shd w:val="clear" w:color="auto" w:fill="auto"/>
            <w:noWrap/>
            <w:vAlign w:val="bottom"/>
            <w:hideMark/>
          </w:tcPr>
          <w:p w14:paraId="5AAEEED1" w14:textId="77777777" w:rsidR="00C07CD4" w:rsidRPr="002B2821" w:rsidRDefault="00C07CD4" w:rsidP="00D94BB1">
            <w:pPr>
              <w:spacing w:before="120" w:after="0" w:line="240" w:lineRule="auto"/>
              <w:rPr>
                <w:lang w:eastAsia="en-GB"/>
              </w:rPr>
            </w:pPr>
          </w:p>
        </w:tc>
        <w:tc>
          <w:tcPr>
            <w:tcW w:w="1043" w:type="dxa"/>
            <w:tcBorders>
              <w:top w:val="nil"/>
              <w:left w:val="nil"/>
              <w:bottom w:val="nil"/>
              <w:right w:val="nil"/>
            </w:tcBorders>
            <w:shd w:val="clear" w:color="auto" w:fill="auto"/>
            <w:noWrap/>
            <w:vAlign w:val="bottom"/>
            <w:hideMark/>
          </w:tcPr>
          <w:p w14:paraId="040CA9DC" w14:textId="77777777" w:rsidR="00C07CD4" w:rsidRPr="002B2821" w:rsidRDefault="00C07CD4" w:rsidP="00D94BB1">
            <w:pPr>
              <w:spacing w:before="120" w:after="0" w:line="240" w:lineRule="auto"/>
              <w:rPr>
                <w:lang w:eastAsia="en-GB"/>
              </w:rPr>
            </w:pPr>
          </w:p>
        </w:tc>
        <w:tc>
          <w:tcPr>
            <w:tcW w:w="236" w:type="dxa"/>
            <w:tcBorders>
              <w:top w:val="nil"/>
              <w:left w:val="nil"/>
              <w:bottom w:val="nil"/>
              <w:right w:val="nil"/>
            </w:tcBorders>
            <w:shd w:val="clear" w:color="auto" w:fill="auto"/>
            <w:noWrap/>
            <w:vAlign w:val="bottom"/>
            <w:hideMark/>
          </w:tcPr>
          <w:p w14:paraId="74DD1FE8" w14:textId="77777777" w:rsidR="00C07CD4" w:rsidRPr="002B2821" w:rsidRDefault="00C07CD4" w:rsidP="00D94BB1">
            <w:pPr>
              <w:spacing w:before="120" w:after="0" w:line="240" w:lineRule="auto"/>
              <w:jc w:val="center"/>
              <w:rPr>
                <w:lang w:eastAsia="en-GB"/>
              </w:rPr>
            </w:pPr>
          </w:p>
        </w:tc>
        <w:tc>
          <w:tcPr>
            <w:tcW w:w="1416" w:type="dxa"/>
            <w:tcBorders>
              <w:top w:val="nil"/>
              <w:left w:val="nil"/>
              <w:bottom w:val="nil"/>
              <w:right w:val="nil"/>
            </w:tcBorders>
            <w:shd w:val="clear" w:color="auto" w:fill="auto"/>
            <w:noWrap/>
            <w:vAlign w:val="bottom"/>
            <w:hideMark/>
          </w:tcPr>
          <w:p w14:paraId="621DEFF4" w14:textId="77777777" w:rsidR="00C07CD4" w:rsidRPr="002B2821" w:rsidRDefault="00C07CD4" w:rsidP="00D94BB1">
            <w:pPr>
              <w:spacing w:before="120" w:after="0" w:line="240" w:lineRule="auto"/>
              <w:rPr>
                <w:lang w:eastAsia="en-GB"/>
              </w:rPr>
            </w:pPr>
          </w:p>
        </w:tc>
        <w:tc>
          <w:tcPr>
            <w:tcW w:w="271" w:type="dxa"/>
            <w:tcBorders>
              <w:top w:val="nil"/>
              <w:left w:val="nil"/>
              <w:bottom w:val="nil"/>
              <w:right w:val="nil"/>
            </w:tcBorders>
            <w:shd w:val="clear" w:color="auto" w:fill="auto"/>
            <w:noWrap/>
            <w:vAlign w:val="bottom"/>
            <w:hideMark/>
          </w:tcPr>
          <w:p w14:paraId="318B5A67" w14:textId="77777777" w:rsidR="00C07CD4" w:rsidRPr="002B2821" w:rsidRDefault="00C07CD4" w:rsidP="00D94BB1">
            <w:pPr>
              <w:spacing w:before="120" w:after="0" w:line="240" w:lineRule="auto"/>
              <w:jc w:val="center"/>
              <w:rPr>
                <w:lang w:eastAsia="en-GB"/>
              </w:rPr>
            </w:pPr>
          </w:p>
        </w:tc>
        <w:tc>
          <w:tcPr>
            <w:tcW w:w="1028" w:type="dxa"/>
            <w:tcBorders>
              <w:top w:val="nil"/>
              <w:left w:val="nil"/>
              <w:bottom w:val="nil"/>
              <w:right w:val="nil"/>
            </w:tcBorders>
            <w:shd w:val="clear" w:color="auto" w:fill="auto"/>
            <w:noWrap/>
            <w:vAlign w:val="bottom"/>
            <w:hideMark/>
          </w:tcPr>
          <w:p w14:paraId="4A17F76F" w14:textId="77777777" w:rsidR="00C07CD4" w:rsidRPr="002B2821" w:rsidRDefault="00C07CD4" w:rsidP="00D94BB1">
            <w:pPr>
              <w:spacing w:before="120" w:after="0" w:line="240" w:lineRule="auto"/>
              <w:rPr>
                <w:lang w:eastAsia="en-GB"/>
              </w:rPr>
            </w:pPr>
          </w:p>
        </w:tc>
        <w:tc>
          <w:tcPr>
            <w:tcW w:w="296" w:type="dxa"/>
            <w:tcBorders>
              <w:top w:val="nil"/>
              <w:left w:val="nil"/>
              <w:bottom w:val="nil"/>
              <w:right w:val="nil"/>
            </w:tcBorders>
            <w:shd w:val="clear" w:color="auto" w:fill="auto"/>
            <w:noWrap/>
            <w:vAlign w:val="bottom"/>
            <w:hideMark/>
          </w:tcPr>
          <w:p w14:paraId="147C4B3F" w14:textId="77777777" w:rsidR="00C07CD4" w:rsidRPr="002B2821" w:rsidRDefault="00C07CD4" w:rsidP="00D94BB1">
            <w:pPr>
              <w:spacing w:before="120" w:after="0" w:line="240" w:lineRule="auto"/>
              <w:jc w:val="center"/>
              <w:rPr>
                <w:lang w:eastAsia="en-GB"/>
              </w:rPr>
            </w:pPr>
          </w:p>
        </w:tc>
        <w:tc>
          <w:tcPr>
            <w:tcW w:w="996" w:type="dxa"/>
            <w:tcBorders>
              <w:top w:val="nil"/>
              <w:left w:val="nil"/>
              <w:bottom w:val="nil"/>
              <w:right w:val="nil"/>
            </w:tcBorders>
            <w:shd w:val="clear" w:color="auto" w:fill="auto"/>
            <w:noWrap/>
            <w:vAlign w:val="bottom"/>
            <w:hideMark/>
          </w:tcPr>
          <w:p w14:paraId="7F5F7544" w14:textId="77777777" w:rsidR="00C07CD4" w:rsidRPr="002B2821" w:rsidRDefault="00C07CD4" w:rsidP="00D94BB1">
            <w:pPr>
              <w:spacing w:before="120" w:after="0" w:line="240" w:lineRule="auto"/>
              <w:rPr>
                <w:lang w:eastAsia="en-GB"/>
              </w:rPr>
            </w:pPr>
          </w:p>
        </w:tc>
        <w:tc>
          <w:tcPr>
            <w:tcW w:w="416" w:type="dxa"/>
            <w:tcBorders>
              <w:top w:val="nil"/>
              <w:left w:val="nil"/>
              <w:bottom w:val="nil"/>
              <w:right w:val="nil"/>
            </w:tcBorders>
            <w:shd w:val="clear" w:color="auto" w:fill="auto"/>
            <w:noWrap/>
            <w:vAlign w:val="bottom"/>
            <w:hideMark/>
          </w:tcPr>
          <w:p w14:paraId="0C22B98D" w14:textId="77777777" w:rsidR="00C07CD4" w:rsidRPr="002B2821" w:rsidRDefault="00C07CD4" w:rsidP="00D94BB1">
            <w:pPr>
              <w:spacing w:before="120" w:after="0" w:line="240" w:lineRule="auto"/>
              <w:jc w:val="center"/>
              <w:rPr>
                <w:lang w:eastAsia="en-GB"/>
              </w:rPr>
            </w:pPr>
          </w:p>
        </w:tc>
      </w:tr>
    </w:tbl>
    <w:p w14:paraId="61B7A89D" w14:textId="77777777" w:rsidR="0083371E" w:rsidRPr="002B2821" w:rsidRDefault="00AA7C73" w:rsidP="00D94BB1">
      <w:pPr>
        <w:tabs>
          <w:tab w:val="left" w:pos="0"/>
          <w:tab w:val="left" w:pos="720"/>
          <w:tab w:val="left" w:pos="1440"/>
          <w:tab w:val="left" w:pos="4992"/>
          <w:tab w:val="decimal" w:pos="5845"/>
          <w:tab w:val="decimal" w:pos="7182"/>
          <w:tab w:val="decimal" w:pos="8667"/>
        </w:tabs>
        <w:suppressAutoHyphens/>
        <w:spacing w:before="120" w:after="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All tangible fixed assets are unrestricted.</w:t>
      </w:r>
    </w:p>
    <w:p w14:paraId="065605C0" w14:textId="77777777" w:rsidR="00890599" w:rsidRPr="002B2821" w:rsidRDefault="00890599">
      <w:pPr>
        <w:tabs>
          <w:tab w:val="left" w:pos="0"/>
          <w:tab w:val="left" w:pos="720"/>
          <w:tab w:val="left" w:pos="1440"/>
          <w:tab w:val="left" w:pos="4992"/>
          <w:tab w:val="decimal" w:pos="5845"/>
          <w:tab w:val="decimal" w:pos="7182"/>
          <w:tab w:val="decimal" w:pos="8667"/>
        </w:tabs>
        <w:suppressAutoHyphens/>
        <w:spacing w:after="0" w:line="240" w:lineRule="auto"/>
        <w:jc w:val="both"/>
        <w:rPr>
          <w:rFonts w:asciiTheme="minorHAnsi" w:hAnsiTheme="minorHAnsi" w:cs="Arial"/>
          <w:spacing w:val="-3"/>
          <w:kern w:val="2"/>
          <w:sz w:val="24"/>
          <w:szCs w:val="24"/>
        </w:rPr>
      </w:pPr>
    </w:p>
    <w:p w14:paraId="2D273A44" w14:textId="77777777" w:rsidR="00890599" w:rsidRPr="002B2821" w:rsidRDefault="00892690">
      <w:pPr>
        <w:tabs>
          <w:tab w:val="left" w:pos="0"/>
          <w:tab w:val="left" w:pos="720"/>
          <w:tab w:val="left" w:pos="1440"/>
          <w:tab w:val="left" w:pos="4992"/>
          <w:tab w:val="decimal" w:pos="5845"/>
          <w:tab w:val="decimal" w:pos="7182"/>
          <w:tab w:val="decimal" w:pos="8667"/>
        </w:tabs>
        <w:suppressAutoHyphens/>
        <w:spacing w:after="0" w:line="240" w:lineRule="auto"/>
        <w:jc w:val="both"/>
        <w:rPr>
          <w:rFonts w:asciiTheme="minorHAnsi" w:hAnsiTheme="minorHAnsi" w:cs="Arial"/>
          <w:b/>
          <w:bCs/>
          <w:color w:val="442359"/>
          <w:sz w:val="24"/>
          <w:szCs w:val="24"/>
        </w:rPr>
      </w:pPr>
      <w:r w:rsidRPr="002B2821">
        <w:rPr>
          <w:rFonts w:asciiTheme="minorHAnsi" w:hAnsiTheme="minorHAnsi" w:cs="Arial"/>
          <w:b/>
          <w:color w:val="442359"/>
          <w:sz w:val="24"/>
          <w:szCs w:val="24"/>
        </w:rPr>
        <w:t xml:space="preserve">9   </w:t>
      </w:r>
      <w:r w:rsidRPr="002B2821">
        <w:rPr>
          <w:rFonts w:asciiTheme="minorHAnsi" w:hAnsiTheme="minorHAnsi" w:cs="Arial"/>
          <w:color w:val="442359"/>
          <w:sz w:val="24"/>
          <w:szCs w:val="24"/>
        </w:rPr>
        <w:t xml:space="preserve">  </w:t>
      </w:r>
      <w:r w:rsidRPr="002B2821">
        <w:rPr>
          <w:rFonts w:asciiTheme="minorHAnsi" w:hAnsiTheme="minorHAnsi" w:cs="Arial"/>
          <w:b/>
          <w:bCs/>
          <w:color w:val="442359"/>
          <w:sz w:val="24"/>
          <w:szCs w:val="24"/>
        </w:rPr>
        <w:t>Investments</w:t>
      </w:r>
    </w:p>
    <w:tbl>
      <w:tblPr>
        <w:tblW w:w="7648" w:type="dxa"/>
        <w:tblLook w:val="04A0" w:firstRow="1" w:lastRow="0" w:firstColumn="1" w:lastColumn="0" w:noHBand="0" w:noVBand="1"/>
      </w:tblPr>
      <w:tblGrid>
        <w:gridCol w:w="1376"/>
        <w:gridCol w:w="1236"/>
        <w:gridCol w:w="1236"/>
        <w:gridCol w:w="716"/>
        <w:gridCol w:w="1236"/>
        <w:gridCol w:w="436"/>
        <w:gridCol w:w="1176"/>
        <w:gridCol w:w="236"/>
      </w:tblGrid>
      <w:tr w:rsidR="00C07CD4" w:rsidRPr="002B2821" w14:paraId="34870B34" w14:textId="77777777" w:rsidTr="00C07CD4">
        <w:trPr>
          <w:trHeight w:val="255"/>
        </w:trPr>
        <w:tc>
          <w:tcPr>
            <w:tcW w:w="1376" w:type="dxa"/>
            <w:tcBorders>
              <w:top w:val="nil"/>
              <w:left w:val="nil"/>
              <w:bottom w:val="nil"/>
              <w:right w:val="nil"/>
            </w:tcBorders>
            <w:shd w:val="clear" w:color="auto" w:fill="auto"/>
            <w:noWrap/>
            <w:vAlign w:val="bottom"/>
            <w:hideMark/>
          </w:tcPr>
          <w:p w14:paraId="6FEBCFE0" w14:textId="77777777" w:rsidR="00C07CD4" w:rsidRPr="002B2821" w:rsidRDefault="00C07CD4" w:rsidP="00C07CD4">
            <w:pPr>
              <w:spacing w:after="0" w:line="240" w:lineRule="auto"/>
              <w:rPr>
                <w:sz w:val="24"/>
                <w:szCs w:val="24"/>
                <w:lang w:eastAsia="en-GB"/>
              </w:rPr>
            </w:pPr>
          </w:p>
        </w:tc>
        <w:tc>
          <w:tcPr>
            <w:tcW w:w="1236" w:type="dxa"/>
            <w:tcBorders>
              <w:top w:val="nil"/>
              <w:left w:val="nil"/>
              <w:bottom w:val="nil"/>
              <w:right w:val="nil"/>
            </w:tcBorders>
            <w:shd w:val="clear" w:color="auto" w:fill="auto"/>
            <w:noWrap/>
            <w:vAlign w:val="bottom"/>
            <w:hideMark/>
          </w:tcPr>
          <w:p w14:paraId="4492ADF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A281A92"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7F901DF7"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6DA7F25" w14:textId="77777777" w:rsidR="00C07CD4" w:rsidRPr="002B2821" w:rsidRDefault="00C07CD4" w:rsidP="00C07C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436" w:type="dxa"/>
            <w:tcBorders>
              <w:top w:val="nil"/>
              <w:left w:val="nil"/>
              <w:bottom w:val="nil"/>
              <w:right w:val="nil"/>
            </w:tcBorders>
            <w:shd w:val="clear" w:color="auto" w:fill="auto"/>
            <w:noWrap/>
            <w:vAlign w:val="bottom"/>
            <w:hideMark/>
          </w:tcPr>
          <w:p w14:paraId="174C965F"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70316B83"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36" w:type="dxa"/>
            <w:tcBorders>
              <w:top w:val="nil"/>
              <w:left w:val="nil"/>
              <w:bottom w:val="nil"/>
              <w:right w:val="nil"/>
            </w:tcBorders>
            <w:shd w:val="clear" w:color="auto" w:fill="auto"/>
            <w:noWrap/>
            <w:vAlign w:val="bottom"/>
            <w:hideMark/>
          </w:tcPr>
          <w:p w14:paraId="32F678DA"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2C662AD1" w14:textId="77777777" w:rsidTr="00C07CD4">
        <w:trPr>
          <w:trHeight w:val="255"/>
        </w:trPr>
        <w:tc>
          <w:tcPr>
            <w:tcW w:w="1376" w:type="dxa"/>
            <w:tcBorders>
              <w:top w:val="nil"/>
              <w:left w:val="nil"/>
              <w:bottom w:val="nil"/>
              <w:right w:val="nil"/>
            </w:tcBorders>
            <w:shd w:val="clear" w:color="auto" w:fill="auto"/>
            <w:noWrap/>
            <w:vAlign w:val="bottom"/>
            <w:hideMark/>
          </w:tcPr>
          <w:p w14:paraId="3BC592B9"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59A8BF7"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4F84485"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369683A"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DD03E9A" w14:textId="77777777" w:rsidR="00C07CD4" w:rsidRPr="002B2821" w:rsidRDefault="00C07CD4" w:rsidP="00C07C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36" w:type="dxa"/>
            <w:tcBorders>
              <w:top w:val="nil"/>
              <w:left w:val="nil"/>
              <w:bottom w:val="nil"/>
              <w:right w:val="nil"/>
            </w:tcBorders>
            <w:shd w:val="clear" w:color="auto" w:fill="auto"/>
            <w:noWrap/>
            <w:vAlign w:val="bottom"/>
            <w:hideMark/>
          </w:tcPr>
          <w:p w14:paraId="68FE895D"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07E89286"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36" w:type="dxa"/>
            <w:tcBorders>
              <w:top w:val="nil"/>
              <w:left w:val="nil"/>
              <w:bottom w:val="nil"/>
              <w:right w:val="nil"/>
            </w:tcBorders>
            <w:shd w:val="clear" w:color="auto" w:fill="auto"/>
            <w:noWrap/>
            <w:vAlign w:val="bottom"/>
            <w:hideMark/>
          </w:tcPr>
          <w:p w14:paraId="0049DB13"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2F68BC4F"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66854F45"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Listed Investments</w:t>
            </w:r>
          </w:p>
        </w:tc>
        <w:tc>
          <w:tcPr>
            <w:tcW w:w="1236" w:type="dxa"/>
            <w:tcBorders>
              <w:top w:val="nil"/>
              <w:left w:val="nil"/>
              <w:bottom w:val="nil"/>
              <w:right w:val="nil"/>
            </w:tcBorders>
            <w:shd w:val="clear" w:color="auto" w:fill="auto"/>
            <w:noWrap/>
            <w:vAlign w:val="bottom"/>
            <w:hideMark/>
          </w:tcPr>
          <w:p w14:paraId="233EECE6"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4012FD6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39168E9"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6C728776"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00C3AB63"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D92AFA2" w14:textId="77777777" w:rsidR="00C07CD4" w:rsidRPr="002B2821" w:rsidRDefault="00C07CD4" w:rsidP="00C07CD4">
            <w:pPr>
              <w:spacing w:after="0" w:line="240" w:lineRule="auto"/>
              <w:jc w:val="right"/>
              <w:rPr>
                <w:lang w:eastAsia="en-GB"/>
              </w:rPr>
            </w:pPr>
          </w:p>
        </w:tc>
      </w:tr>
      <w:tr w:rsidR="00C07CD4" w:rsidRPr="002B2821" w14:paraId="714F848B" w14:textId="77777777" w:rsidTr="00C07CD4">
        <w:trPr>
          <w:trHeight w:val="75"/>
        </w:trPr>
        <w:tc>
          <w:tcPr>
            <w:tcW w:w="1376" w:type="dxa"/>
            <w:tcBorders>
              <w:top w:val="nil"/>
              <w:left w:val="nil"/>
              <w:bottom w:val="nil"/>
              <w:right w:val="nil"/>
            </w:tcBorders>
            <w:shd w:val="clear" w:color="auto" w:fill="auto"/>
            <w:noWrap/>
            <w:vAlign w:val="bottom"/>
            <w:hideMark/>
          </w:tcPr>
          <w:p w14:paraId="600CFBA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D1E8D5B"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821C08A"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1E437F0"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B42C8CE"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0C1E5FC8"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044D2013"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1DD43705" w14:textId="77777777" w:rsidR="00C07CD4" w:rsidRPr="002B2821" w:rsidRDefault="00C07CD4" w:rsidP="00C07CD4">
            <w:pPr>
              <w:spacing w:after="0" w:line="240" w:lineRule="auto"/>
              <w:jc w:val="right"/>
              <w:rPr>
                <w:lang w:eastAsia="en-GB"/>
              </w:rPr>
            </w:pPr>
          </w:p>
        </w:tc>
      </w:tr>
      <w:tr w:rsidR="00C07CD4" w:rsidRPr="002B2821" w14:paraId="38EC9D6B" w14:textId="77777777" w:rsidTr="00C07CD4">
        <w:trPr>
          <w:trHeight w:val="255"/>
        </w:trPr>
        <w:tc>
          <w:tcPr>
            <w:tcW w:w="1376" w:type="dxa"/>
            <w:tcBorders>
              <w:top w:val="nil"/>
              <w:left w:val="nil"/>
              <w:bottom w:val="nil"/>
              <w:right w:val="nil"/>
            </w:tcBorders>
            <w:shd w:val="clear" w:color="auto" w:fill="auto"/>
            <w:noWrap/>
            <w:vAlign w:val="bottom"/>
            <w:hideMark/>
          </w:tcPr>
          <w:p w14:paraId="129CBE83"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UK Equities</w:t>
            </w:r>
          </w:p>
        </w:tc>
        <w:tc>
          <w:tcPr>
            <w:tcW w:w="1236" w:type="dxa"/>
            <w:tcBorders>
              <w:top w:val="nil"/>
              <w:left w:val="nil"/>
              <w:bottom w:val="nil"/>
              <w:right w:val="nil"/>
            </w:tcBorders>
            <w:shd w:val="clear" w:color="auto" w:fill="auto"/>
            <w:noWrap/>
            <w:vAlign w:val="bottom"/>
            <w:hideMark/>
          </w:tcPr>
          <w:p w14:paraId="22455E5D"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5A41E728"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2D4DCD6A"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CCE13DB"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30,126</w:t>
            </w:r>
          </w:p>
        </w:tc>
        <w:tc>
          <w:tcPr>
            <w:tcW w:w="436" w:type="dxa"/>
            <w:tcBorders>
              <w:top w:val="nil"/>
              <w:left w:val="nil"/>
              <w:bottom w:val="nil"/>
              <w:right w:val="nil"/>
            </w:tcBorders>
            <w:shd w:val="clear" w:color="auto" w:fill="auto"/>
            <w:noWrap/>
            <w:vAlign w:val="bottom"/>
            <w:hideMark/>
          </w:tcPr>
          <w:p w14:paraId="28DC82D0"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2E933FA1"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29,575</w:t>
            </w:r>
          </w:p>
        </w:tc>
        <w:tc>
          <w:tcPr>
            <w:tcW w:w="236" w:type="dxa"/>
            <w:tcBorders>
              <w:top w:val="nil"/>
              <w:left w:val="nil"/>
              <w:bottom w:val="nil"/>
              <w:right w:val="nil"/>
            </w:tcBorders>
            <w:shd w:val="clear" w:color="auto" w:fill="auto"/>
            <w:noWrap/>
            <w:vAlign w:val="bottom"/>
            <w:hideMark/>
          </w:tcPr>
          <w:p w14:paraId="61FCC3B3"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2AB7E631" w14:textId="77777777" w:rsidTr="00C07CD4">
        <w:trPr>
          <w:trHeight w:val="75"/>
        </w:trPr>
        <w:tc>
          <w:tcPr>
            <w:tcW w:w="1376" w:type="dxa"/>
            <w:tcBorders>
              <w:top w:val="nil"/>
              <w:left w:val="nil"/>
              <w:bottom w:val="nil"/>
              <w:right w:val="nil"/>
            </w:tcBorders>
            <w:shd w:val="clear" w:color="auto" w:fill="auto"/>
            <w:noWrap/>
            <w:vAlign w:val="bottom"/>
            <w:hideMark/>
          </w:tcPr>
          <w:p w14:paraId="685FE138"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15008E5"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6721415"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17929C4"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04430A0"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430A3D98"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AE9D764"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77F91C19" w14:textId="77777777" w:rsidR="00C07CD4" w:rsidRPr="002B2821" w:rsidRDefault="00C07CD4" w:rsidP="00C07CD4">
            <w:pPr>
              <w:spacing w:after="0" w:line="240" w:lineRule="auto"/>
              <w:jc w:val="right"/>
              <w:rPr>
                <w:lang w:eastAsia="en-GB"/>
              </w:rPr>
            </w:pPr>
          </w:p>
        </w:tc>
      </w:tr>
      <w:tr w:rsidR="00C07CD4" w:rsidRPr="002B2821" w14:paraId="19A6A51A" w14:textId="77777777" w:rsidTr="00C07CD4">
        <w:trPr>
          <w:trHeight w:val="255"/>
        </w:trPr>
        <w:tc>
          <w:tcPr>
            <w:tcW w:w="1376" w:type="dxa"/>
            <w:tcBorders>
              <w:top w:val="nil"/>
              <w:left w:val="nil"/>
              <w:bottom w:val="nil"/>
              <w:right w:val="nil"/>
            </w:tcBorders>
            <w:shd w:val="clear" w:color="auto" w:fill="auto"/>
            <w:noWrap/>
            <w:vAlign w:val="bottom"/>
            <w:hideMark/>
          </w:tcPr>
          <w:p w14:paraId="6C06AA0F"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US Equities</w:t>
            </w:r>
          </w:p>
        </w:tc>
        <w:tc>
          <w:tcPr>
            <w:tcW w:w="1236" w:type="dxa"/>
            <w:tcBorders>
              <w:top w:val="nil"/>
              <w:left w:val="nil"/>
              <w:bottom w:val="nil"/>
              <w:right w:val="nil"/>
            </w:tcBorders>
            <w:shd w:val="clear" w:color="auto" w:fill="auto"/>
            <w:noWrap/>
            <w:vAlign w:val="bottom"/>
            <w:hideMark/>
          </w:tcPr>
          <w:p w14:paraId="56B6ED7F"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42C1F847"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265E9F26"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70C491A"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2,307</w:t>
            </w:r>
          </w:p>
        </w:tc>
        <w:tc>
          <w:tcPr>
            <w:tcW w:w="436" w:type="dxa"/>
            <w:tcBorders>
              <w:top w:val="nil"/>
              <w:left w:val="nil"/>
              <w:bottom w:val="nil"/>
              <w:right w:val="nil"/>
            </w:tcBorders>
            <w:shd w:val="clear" w:color="auto" w:fill="auto"/>
            <w:noWrap/>
            <w:vAlign w:val="bottom"/>
            <w:hideMark/>
          </w:tcPr>
          <w:p w14:paraId="4D5D2B2F"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0A4E8185"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2,433</w:t>
            </w:r>
          </w:p>
        </w:tc>
        <w:tc>
          <w:tcPr>
            <w:tcW w:w="236" w:type="dxa"/>
            <w:tcBorders>
              <w:top w:val="nil"/>
              <w:left w:val="nil"/>
              <w:bottom w:val="nil"/>
              <w:right w:val="nil"/>
            </w:tcBorders>
            <w:shd w:val="clear" w:color="auto" w:fill="auto"/>
            <w:noWrap/>
            <w:vAlign w:val="bottom"/>
            <w:hideMark/>
          </w:tcPr>
          <w:p w14:paraId="00CB7DD2"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41A17FC3" w14:textId="77777777" w:rsidTr="00C07CD4">
        <w:trPr>
          <w:trHeight w:val="105"/>
        </w:trPr>
        <w:tc>
          <w:tcPr>
            <w:tcW w:w="1376" w:type="dxa"/>
            <w:tcBorders>
              <w:top w:val="nil"/>
              <w:left w:val="nil"/>
              <w:bottom w:val="nil"/>
              <w:right w:val="nil"/>
            </w:tcBorders>
            <w:shd w:val="clear" w:color="auto" w:fill="auto"/>
            <w:noWrap/>
            <w:vAlign w:val="bottom"/>
            <w:hideMark/>
          </w:tcPr>
          <w:p w14:paraId="291898A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FA6466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8E8CBC8"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5DE835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462AF30"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48E79429"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72BCCEC"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6616661" w14:textId="77777777" w:rsidR="00C07CD4" w:rsidRPr="002B2821" w:rsidRDefault="00C07CD4" w:rsidP="00C07CD4">
            <w:pPr>
              <w:spacing w:after="0" w:line="240" w:lineRule="auto"/>
              <w:jc w:val="right"/>
              <w:rPr>
                <w:lang w:eastAsia="en-GB"/>
              </w:rPr>
            </w:pPr>
          </w:p>
        </w:tc>
      </w:tr>
      <w:tr w:rsidR="00C07CD4" w:rsidRPr="002B2821" w14:paraId="177BB507"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6BAF4496"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Europe Equities</w:t>
            </w:r>
          </w:p>
        </w:tc>
        <w:tc>
          <w:tcPr>
            <w:tcW w:w="1236" w:type="dxa"/>
            <w:tcBorders>
              <w:top w:val="nil"/>
              <w:left w:val="nil"/>
              <w:bottom w:val="nil"/>
              <w:right w:val="nil"/>
            </w:tcBorders>
            <w:shd w:val="clear" w:color="auto" w:fill="auto"/>
            <w:noWrap/>
            <w:vAlign w:val="bottom"/>
            <w:hideMark/>
          </w:tcPr>
          <w:p w14:paraId="3DE72C26"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689578CE"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9487038"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405</w:t>
            </w:r>
          </w:p>
        </w:tc>
        <w:tc>
          <w:tcPr>
            <w:tcW w:w="436" w:type="dxa"/>
            <w:tcBorders>
              <w:top w:val="nil"/>
              <w:left w:val="nil"/>
              <w:bottom w:val="nil"/>
              <w:right w:val="nil"/>
            </w:tcBorders>
            <w:shd w:val="clear" w:color="auto" w:fill="auto"/>
            <w:noWrap/>
            <w:vAlign w:val="bottom"/>
            <w:hideMark/>
          </w:tcPr>
          <w:p w14:paraId="7B05F812"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2F0AC1AD" w14:textId="4468B9C5" w:rsidR="00C07CD4" w:rsidRPr="002B2821" w:rsidRDefault="00967F30" w:rsidP="00967F30">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36" w:type="dxa"/>
            <w:tcBorders>
              <w:top w:val="nil"/>
              <w:left w:val="nil"/>
              <w:bottom w:val="nil"/>
              <w:right w:val="nil"/>
            </w:tcBorders>
            <w:shd w:val="clear" w:color="auto" w:fill="auto"/>
            <w:noWrap/>
            <w:vAlign w:val="bottom"/>
            <w:hideMark/>
          </w:tcPr>
          <w:p w14:paraId="4AB4DC7E"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02335D70" w14:textId="77777777" w:rsidTr="00C07CD4">
        <w:trPr>
          <w:trHeight w:val="30"/>
        </w:trPr>
        <w:tc>
          <w:tcPr>
            <w:tcW w:w="1376" w:type="dxa"/>
            <w:tcBorders>
              <w:top w:val="nil"/>
              <w:left w:val="nil"/>
              <w:bottom w:val="nil"/>
              <w:right w:val="nil"/>
            </w:tcBorders>
            <w:shd w:val="clear" w:color="auto" w:fill="auto"/>
            <w:noWrap/>
            <w:vAlign w:val="bottom"/>
            <w:hideMark/>
          </w:tcPr>
          <w:p w14:paraId="7FDC8C8E"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B091A92"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74D3DF6"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294EE7E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324359B"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2F29523A"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F444985"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59C553F9" w14:textId="77777777" w:rsidR="00C07CD4" w:rsidRPr="002B2821" w:rsidRDefault="00C07CD4" w:rsidP="00C07CD4">
            <w:pPr>
              <w:spacing w:after="0" w:line="240" w:lineRule="auto"/>
              <w:jc w:val="right"/>
              <w:rPr>
                <w:lang w:eastAsia="en-GB"/>
              </w:rPr>
            </w:pPr>
          </w:p>
        </w:tc>
      </w:tr>
      <w:tr w:rsidR="00C07CD4" w:rsidRPr="002B2821" w14:paraId="063793A0"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07944D56"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Other Equities</w:t>
            </w:r>
          </w:p>
        </w:tc>
        <w:tc>
          <w:tcPr>
            <w:tcW w:w="1236" w:type="dxa"/>
            <w:tcBorders>
              <w:top w:val="nil"/>
              <w:left w:val="nil"/>
              <w:bottom w:val="nil"/>
              <w:right w:val="nil"/>
            </w:tcBorders>
            <w:shd w:val="clear" w:color="auto" w:fill="auto"/>
            <w:noWrap/>
            <w:vAlign w:val="bottom"/>
            <w:hideMark/>
          </w:tcPr>
          <w:p w14:paraId="5F677FD5"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20A009EE"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6A9A7CF"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3,354</w:t>
            </w:r>
          </w:p>
        </w:tc>
        <w:tc>
          <w:tcPr>
            <w:tcW w:w="436" w:type="dxa"/>
            <w:tcBorders>
              <w:top w:val="nil"/>
              <w:left w:val="nil"/>
              <w:bottom w:val="nil"/>
              <w:right w:val="nil"/>
            </w:tcBorders>
            <w:shd w:val="clear" w:color="auto" w:fill="auto"/>
            <w:noWrap/>
            <w:vAlign w:val="bottom"/>
            <w:hideMark/>
          </w:tcPr>
          <w:p w14:paraId="25977A75"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3F418E34" w14:textId="50F350C1" w:rsidR="00C07CD4" w:rsidRPr="002B2821" w:rsidRDefault="00967F30"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236" w:type="dxa"/>
            <w:tcBorders>
              <w:top w:val="nil"/>
              <w:left w:val="nil"/>
              <w:bottom w:val="nil"/>
              <w:right w:val="nil"/>
            </w:tcBorders>
            <w:shd w:val="clear" w:color="auto" w:fill="auto"/>
            <w:noWrap/>
            <w:vAlign w:val="bottom"/>
            <w:hideMark/>
          </w:tcPr>
          <w:p w14:paraId="50F94777"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0229003B" w14:textId="77777777" w:rsidTr="00C07CD4">
        <w:trPr>
          <w:trHeight w:val="188"/>
        </w:trPr>
        <w:tc>
          <w:tcPr>
            <w:tcW w:w="1376" w:type="dxa"/>
            <w:tcBorders>
              <w:top w:val="nil"/>
              <w:left w:val="nil"/>
              <w:bottom w:val="nil"/>
              <w:right w:val="nil"/>
            </w:tcBorders>
            <w:shd w:val="clear" w:color="auto" w:fill="auto"/>
            <w:noWrap/>
            <w:vAlign w:val="bottom"/>
            <w:hideMark/>
          </w:tcPr>
          <w:p w14:paraId="1D270A1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DBBBBB8"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61D8319"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53B164B"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6D32EA2"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7EB0F28F"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655665DD"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3E8EAA53" w14:textId="77777777" w:rsidR="00C07CD4" w:rsidRPr="002B2821" w:rsidRDefault="00C07CD4" w:rsidP="00C07CD4">
            <w:pPr>
              <w:spacing w:after="0" w:line="240" w:lineRule="auto"/>
              <w:jc w:val="right"/>
              <w:rPr>
                <w:lang w:eastAsia="en-GB"/>
              </w:rPr>
            </w:pPr>
          </w:p>
        </w:tc>
      </w:tr>
      <w:tr w:rsidR="00C07CD4" w:rsidRPr="002B2821" w14:paraId="03573018"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79FA953F"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Unlisted investments</w:t>
            </w:r>
          </w:p>
        </w:tc>
        <w:tc>
          <w:tcPr>
            <w:tcW w:w="1236" w:type="dxa"/>
            <w:tcBorders>
              <w:top w:val="nil"/>
              <w:left w:val="nil"/>
              <w:bottom w:val="nil"/>
              <w:right w:val="nil"/>
            </w:tcBorders>
            <w:shd w:val="clear" w:color="auto" w:fill="auto"/>
            <w:noWrap/>
            <w:vAlign w:val="bottom"/>
            <w:hideMark/>
          </w:tcPr>
          <w:p w14:paraId="1D3C8C79"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36E5CECE"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93B8E4D"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6CCEF52A"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AA03A40"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4FE79BF7" w14:textId="77777777" w:rsidR="00C07CD4" w:rsidRPr="002B2821" w:rsidRDefault="00C07CD4" w:rsidP="00C07CD4">
            <w:pPr>
              <w:spacing w:after="0" w:line="240" w:lineRule="auto"/>
              <w:jc w:val="right"/>
              <w:rPr>
                <w:lang w:eastAsia="en-GB"/>
              </w:rPr>
            </w:pPr>
          </w:p>
        </w:tc>
      </w:tr>
      <w:tr w:rsidR="00C07CD4" w:rsidRPr="002B2821" w14:paraId="01493242" w14:textId="77777777" w:rsidTr="00C07CD4">
        <w:trPr>
          <w:trHeight w:val="90"/>
        </w:trPr>
        <w:tc>
          <w:tcPr>
            <w:tcW w:w="1376" w:type="dxa"/>
            <w:tcBorders>
              <w:top w:val="nil"/>
              <w:left w:val="nil"/>
              <w:bottom w:val="nil"/>
              <w:right w:val="nil"/>
            </w:tcBorders>
            <w:shd w:val="clear" w:color="auto" w:fill="auto"/>
            <w:noWrap/>
            <w:vAlign w:val="bottom"/>
            <w:hideMark/>
          </w:tcPr>
          <w:p w14:paraId="42DCC8A2"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B09C65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10BE3FC"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035FA3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1CDB8C6"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6C3649C3"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9B8A2C4"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3B492CD1" w14:textId="77777777" w:rsidR="00C07CD4" w:rsidRPr="002B2821" w:rsidRDefault="00C07CD4" w:rsidP="00C07CD4">
            <w:pPr>
              <w:spacing w:after="0" w:line="240" w:lineRule="auto"/>
              <w:jc w:val="right"/>
              <w:rPr>
                <w:lang w:eastAsia="en-GB"/>
              </w:rPr>
            </w:pPr>
          </w:p>
        </w:tc>
      </w:tr>
      <w:tr w:rsidR="00C07CD4" w:rsidRPr="002B2821" w14:paraId="1CBF9EA6"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7019C9C4"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Overseas Unit Trusts</w:t>
            </w:r>
          </w:p>
        </w:tc>
        <w:tc>
          <w:tcPr>
            <w:tcW w:w="1236" w:type="dxa"/>
            <w:tcBorders>
              <w:top w:val="nil"/>
              <w:left w:val="nil"/>
              <w:bottom w:val="nil"/>
              <w:right w:val="nil"/>
            </w:tcBorders>
            <w:shd w:val="clear" w:color="auto" w:fill="auto"/>
            <w:noWrap/>
            <w:vAlign w:val="bottom"/>
            <w:hideMark/>
          </w:tcPr>
          <w:p w14:paraId="285E6276"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47F40A6E"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840F553"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96,314</w:t>
            </w:r>
          </w:p>
        </w:tc>
        <w:tc>
          <w:tcPr>
            <w:tcW w:w="436" w:type="dxa"/>
            <w:tcBorders>
              <w:top w:val="nil"/>
              <w:left w:val="nil"/>
              <w:bottom w:val="nil"/>
              <w:right w:val="nil"/>
            </w:tcBorders>
            <w:shd w:val="clear" w:color="auto" w:fill="auto"/>
            <w:noWrap/>
            <w:vAlign w:val="bottom"/>
            <w:hideMark/>
          </w:tcPr>
          <w:p w14:paraId="6F106969"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63A8CF83"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63,897</w:t>
            </w:r>
          </w:p>
        </w:tc>
        <w:tc>
          <w:tcPr>
            <w:tcW w:w="236" w:type="dxa"/>
            <w:tcBorders>
              <w:top w:val="nil"/>
              <w:left w:val="nil"/>
              <w:bottom w:val="nil"/>
              <w:right w:val="nil"/>
            </w:tcBorders>
            <w:shd w:val="clear" w:color="auto" w:fill="auto"/>
            <w:noWrap/>
            <w:vAlign w:val="bottom"/>
            <w:hideMark/>
          </w:tcPr>
          <w:p w14:paraId="5E2DC3DB"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1DC81369" w14:textId="77777777" w:rsidTr="00C07CD4">
        <w:trPr>
          <w:trHeight w:val="30"/>
        </w:trPr>
        <w:tc>
          <w:tcPr>
            <w:tcW w:w="1376" w:type="dxa"/>
            <w:tcBorders>
              <w:top w:val="nil"/>
              <w:left w:val="nil"/>
              <w:bottom w:val="nil"/>
              <w:right w:val="nil"/>
            </w:tcBorders>
            <w:shd w:val="clear" w:color="auto" w:fill="auto"/>
            <w:noWrap/>
            <w:vAlign w:val="bottom"/>
            <w:hideMark/>
          </w:tcPr>
          <w:p w14:paraId="7E3603F8"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9432DB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13E9430"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78C7B7E5"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0E6D0D1"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51E5A8E2"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28CC076"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1CC07152" w14:textId="77777777" w:rsidR="00C07CD4" w:rsidRPr="002B2821" w:rsidRDefault="00C07CD4" w:rsidP="00C07CD4">
            <w:pPr>
              <w:spacing w:after="0" w:line="240" w:lineRule="auto"/>
              <w:jc w:val="right"/>
              <w:rPr>
                <w:lang w:eastAsia="en-GB"/>
              </w:rPr>
            </w:pPr>
          </w:p>
        </w:tc>
      </w:tr>
      <w:tr w:rsidR="00C07CD4" w:rsidRPr="002B2821" w14:paraId="6BFA1B77"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1F9D5499"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UK Fixed Income Bonds</w:t>
            </w:r>
          </w:p>
        </w:tc>
        <w:tc>
          <w:tcPr>
            <w:tcW w:w="1236" w:type="dxa"/>
            <w:tcBorders>
              <w:top w:val="nil"/>
              <w:left w:val="nil"/>
              <w:bottom w:val="nil"/>
              <w:right w:val="nil"/>
            </w:tcBorders>
            <w:shd w:val="clear" w:color="auto" w:fill="auto"/>
            <w:noWrap/>
            <w:vAlign w:val="bottom"/>
            <w:hideMark/>
          </w:tcPr>
          <w:p w14:paraId="71C346EC"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6B84C7AA"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5FECAF61"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29,239</w:t>
            </w:r>
          </w:p>
        </w:tc>
        <w:tc>
          <w:tcPr>
            <w:tcW w:w="436" w:type="dxa"/>
            <w:tcBorders>
              <w:top w:val="nil"/>
              <w:left w:val="nil"/>
              <w:bottom w:val="nil"/>
              <w:right w:val="nil"/>
            </w:tcBorders>
            <w:shd w:val="clear" w:color="auto" w:fill="auto"/>
            <w:noWrap/>
            <w:vAlign w:val="bottom"/>
            <w:hideMark/>
          </w:tcPr>
          <w:p w14:paraId="1611085D"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267A8F62"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30,293</w:t>
            </w:r>
          </w:p>
        </w:tc>
        <w:tc>
          <w:tcPr>
            <w:tcW w:w="236" w:type="dxa"/>
            <w:tcBorders>
              <w:top w:val="nil"/>
              <w:left w:val="nil"/>
              <w:bottom w:val="nil"/>
              <w:right w:val="nil"/>
            </w:tcBorders>
            <w:shd w:val="clear" w:color="auto" w:fill="auto"/>
            <w:noWrap/>
            <w:vAlign w:val="bottom"/>
            <w:hideMark/>
          </w:tcPr>
          <w:p w14:paraId="46DB73E6"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3F276290" w14:textId="77777777" w:rsidTr="00C07CD4">
        <w:trPr>
          <w:trHeight w:val="90"/>
        </w:trPr>
        <w:tc>
          <w:tcPr>
            <w:tcW w:w="1376" w:type="dxa"/>
            <w:tcBorders>
              <w:top w:val="nil"/>
              <w:left w:val="nil"/>
              <w:bottom w:val="nil"/>
              <w:right w:val="nil"/>
            </w:tcBorders>
            <w:shd w:val="clear" w:color="auto" w:fill="auto"/>
            <w:noWrap/>
            <w:vAlign w:val="bottom"/>
            <w:hideMark/>
          </w:tcPr>
          <w:p w14:paraId="74FC870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6D63AC5"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39955D5"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1C7EA40C"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16827C4"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53CA6803"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170524D1"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3B6224B7" w14:textId="77777777" w:rsidR="00C07CD4" w:rsidRPr="002B2821" w:rsidRDefault="00C07CD4" w:rsidP="00C07CD4">
            <w:pPr>
              <w:spacing w:after="0" w:line="240" w:lineRule="auto"/>
              <w:jc w:val="right"/>
              <w:rPr>
                <w:lang w:eastAsia="en-GB"/>
              </w:rPr>
            </w:pPr>
          </w:p>
        </w:tc>
      </w:tr>
      <w:tr w:rsidR="00C07CD4" w:rsidRPr="002B2821" w14:paraId="38C63D2D" w14:textId="77777777" w:rsidTr="00C07CD4">
        <w:trPr>
          <w:trHeight w:val="255"/>
        </w:trPr>
        <w:tc>
          <w:tcPr>
            <w:tcW w:w="3848" w:type="dxa"/>
            <w:gridSpan w:val="3"/>
            <w:tcBorders>
              <w:top w:val="nil"/>
              <w:left w:val="nil"/>
              <w:bottom w:val="nil"/>
              <w:right w:val="nil"/>
            </w:tcBorders>
            <w:shd w:val="clear" w:color="auto" w:fill="auto"/>
            <w:noWrap/>
            <w:vAlign w:val="bottom"/>
            <w:hideMark/>
          </w:tcPr>
          <w:p w14:paraId="64FCFF3C"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UK Common Investment Funds</w:t>
            </w:r>
          </w:p>
        </w:tc>
        <w:tc>
          <w:tcPr>
            <w:tcW w:w="716" w:type="dxa"/>
            <w:tcBorders>
              <w:top w:val="nil"/>
              <w:left w:val="nil"/>
              <w:bottom w:val="nil"/>
              <w:right w:val="nil"/>
            </w:tcBorders>
            <w:shd w:val="clear" w:color="auto" w:fill="auto"/>
            <w:noWrap/>
            <w:vAlign w:val="bottom"/>
            <w:hideMark/>
          </w:tcPr>
          <w:p w14:paraId="58D8813A"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04E28583"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3,164</w:t>
            </w:r>
          </w:p>
        </w:tc>
        <w:tc>
          <w:tcPr>
            <w:tcW w:w="436" w:type="dxa"/>
            <w:tcBorders>
              <w:top w:val="nil"/>
              <w:left w:val="nil"/>
              <w:bottom w:val="nil"/>
              <w:right w:val="nil"/>
            </w:tcBorders>
            <w:shd w:val="clear" w:color="auto" w:fill="auto"/>
            <w:noWrap/>
            <w:vAlign w:val="bottom"/>
            <w:hideMark/>
          </w:tcPr>
          <w:p w14:paraId="0128943D"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0CCB8AA1"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27,067</w:t>
            </w:r>
          </w:p>
        </w:tc>
        <w:tc>
          <w:tcPr>
            <w:tcW w:w="236" w:type="dxa"/>
            <w:tcBorders>
              <w:top w:val="nil"/>
              <w:left w:val="nil"/>
              <w:bottom w:val="nil"/>
              <w:right w:val="nil"/>
            </w:tcBorders>
            <w:shd w:val="clear" w:color="auto" w:fill="auto"/>
            <w:noWrap/>
            <w:vAlign w:val="bottom"/>
            <w:hideMark/>
          </w:tcPr>
          <w:p w14:paraId="77920B3E"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5915CDA2" w14:textId="77777777" w:rsidTr="00C07CD4">
        <w:trPr>
          <w:trHeight w:val="15"/>
        </w:trPr>
        <w:tc>
          <w:tcPr>
            <w:tcW w:w="1376" w:type="dxa"/>
            <w:tcBorders>
              <w:top w:val="nil"/>
              <w:left w:val="nil"/>
              <w:bottom w:val="nil"/>
              <w:right w:val="nil"/>
            </w:tcBorders>
            <w:shd w:val="clear" w:color="auto" w:fill="auto"/>
            <w:noWrap/>
            <w:vAlign w:val="bottom"/>
            <w:hideMark/>
          </w:tcPr>
          <w:p w14:paraId="2825BBF2"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AA7E929"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6A8B737"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1899358"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05E6730F"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74D8C2FD"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3ABD5B1F"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0D5D8DCE" w14:textId="77777777" w:rsidR="00C07CD4" w:rsidRPr="002B2821" w:rsidRDefault="00C07CD4" w:rsidP="00C07CD4">
            <w:pPr>
              <w:spacing w:after="0" w:line="240" w:lineRule="auto"/>
              <w:jc w:val="right"/>
              <w:rPr>
                <w:lang w:eastAsia="en-GB"/>
              </w:rPr>
            </w:pPr>
          </w:p>
        </w:tc>
      </w:tr>
      <w:tr w:rsidR="00C07CD4" w:rsidRPr="002B2821" w14:paraId="74AF8B87" w14:textId="77777777" w:rsidTr="00C07CD4">
        <w:trPr>
          <w:trHeight w:val="255"/>
        </w:trPr>
        <w:tc>
          <w:tcPr>
            <w:tcW w:w="3848" w:type="dxa"/>
            <w:gridSpan w:val="3"/>
            <w:tcBorders>
              <w:top w:val="nil"/>
              <w:left w:val="nil"/>
              <w:bottom w:val="nil"/>
              <w:right w:val="nil"/>
            </w:tcBorders>
            <w:shd w:val="clear" w:color="auto" w:fill="auto"/>
            <w:noWrap/>
            <w:vAlign w:val="bottom"/>
            <w:hideMark/>
          </w:tcPr>
          <w:p w14:paraId="347EA9BA"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Open Derivatives Positions</w:t>
            </w:r>
          </w:p>
        </w:tc>
        <w:tc>
          <w:tcPr>
            <w:tcW w:w="716" w:type="dxa"/>
            <w:tcBorders>
              <w:top w:val="nil"/>
              <w:left w:val="nil"/>
              <w:bottom w:val="nil"/>
              <w:right w:val="nil"/>
            </w:tcBorders>
            <w:shd w:val="clear" w:color="auto" w:fill="auto"/>
            <w:noWrap/>
            <w:vAlign w:val="bottom"/>
            <w:hideMark/>
          </w:tcPr>
          <w:p w14:paraId="7A42114B"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539E6A73"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w:t>
            </w:r>
          </w:p>
        </w:tc>
        <w:tc>
          <w:tcPr>
            <w:tcW w:w="436" w:type="dxa"/>
            <w:tcBorders>
              <w:top w:val="nil"/>
              <w:left w:val="nil"/>
              <w:bottom w:val="nil"/>
              <w:right w:val="nil"/>
            </w:tcBorders>
            <w:shd w:val="clear" w:color="auto" w:fill="auto"/>
            <w:noWrap/>
            <w:vAlign w:val="bottom"/>
            <w:hideMark/>
          </w:tcPr>
          <w:p w14:paraId="7F668F85"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1C9CE80A"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(965)</w:t>
            </w:r>
          </w:p>
        </w:tc>
        <w:tc>
          <w:tcPr>
            <w:tcW w:w="236" w:type="dxa"/>
            <w:tcBorders>
              <w:top w:val="nil"/>
              <w:left w:val="nil"/>
              <w:bottom w:val="nil"/>
              <w:right w:val="nil"/>
            </w:tcBorders>
            <w:shd w:val="clear" w:color="auto" w:fill="auto"/>
            <w:noWrap/>
            <w:vAlign w:val="bottom"/>
            <w:hideMark/>
          </w:tcPr>
          <w:p w14:paraId="4A7E91E3"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6E08BC1C" w14:textId="77777777" w:rsidTr="00C07CD4">
        <w:trPr>
          <w:trHeight w:val="30"/>
        </w:trPr>
        <w:tc>
          <w:tcPr>
            <w:tcW w:w="1376" w:type="dxa"/>
            <w:tcBorders>
              <w:top w:val="nil"/>
              <w:left w:val="nil"/>
              <w:bottom w:val="nil"/>
              <w:right w:val="nil"/>
            </w:tcBorders>
            <w:shd w:val="clear" w:color="auto" w:fill="auto"/>
            <w:noWrap/>
            <w:vAlign w:val="bottom"/>
            <w:hideMark/>
          </w:tcPr>
          <w:p w14:paraId="0D88A0A0"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D86C0D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5A1B49A"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679A5B60"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27B04D24"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318C1AB2"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66E8F67A"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1244A208" w14:textId="77777777" w:rsidR="00C07CD4" w:rsidRPr="002B2821" w:rsidRDefault="00C07CD4" w:rsidP="00C07CD4">
            <w:pPr>
              <w:spacing w:after="0" w:line="240" w:lineRule="auto"/>
              <w:jc w:val="right"/>
              <w:rPr>
                <w:lang w:eastAsia="en-GB"/>
              </w:rPr>
            </w:pPr>
          </w:p>
        </w:tc>
      </w:tr>
      <w:tr w:rsidR="00C07CD4" w:rsidRPr="002B2821" w14:paraId="08EEF5BD" w14:textId="77777777" w:rsidTr="00C07CD4">
        <w:trPr>
          <w:trHeight w:val="255"/>
        </w:trPr>
        <w:tc>
          <w:tcPr>
            <w:tcW w:w="3848" w:type="dxa"/>
            <w:gridSpan w:val="3"/>
            <w:tcBorders>
              <w:top w:val="nil"/>
              <w:left w:val="nil"/>
              <w:bottom w:val="nil"/>
              <w:right w:val="nil"/>
            </w:tcBorders>
            <w:shd w:val="clear" w:color="auto" w:fill="auto"/>
            <w:noWrap/>
            <w:vAlign w:val="bottom"/>
            <w:hideMark/>
          </w:tcPr>
          <w:p w14:paraId="602568A5"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held for investments</w:t>
            </w:r>
          </w:p>
        </w:tc>
        <w:tc>
          <w:tcPr>
            <w:tcW w:w="716" w:type="dxa"/>
            <w:tcBorders>
              <w:top w:val="nil"/>
              <w:left w:val="nil"/>
              <w:bottom w:val="nil"/>
              <w:right w:val="nil"/>
            </w:tcBorders>
            <w:shd w:val="clear" w:color="auto" w:fill="auto"/>
            <w:noWrap/>
            <w:vAlign w:val="bottom"/>
            <w:hideMark/>
          </w:tcPr>
          <w:p w14:paraId="162C6021"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3F7091D4"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2,768</w:t>
            </w:r>
          </w:p>
        </w:tc>
        <w:tc>
          <w:tcPr>
            <w:tcW w:w="436" w:type="dxa"/>
            <w:tcBorders>
              <w:top w:val="nil"/>
              <w:left w:val="nil"/>
              <w:bottom w:val="nil"/>
              <w:right w:val="nil"/>
            </w:tcBorders>
            <w:shd w:val="clear" w:color="auto" w:fill="auto"/>
            <w:noWrap/>
            <w:vAlign w:val="bottom"/>
            <w:hideMark/>
          </w:tcPr>
          <w:p w14:paraId="5C974290"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31E17245"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5,466</w:t>
            </w:r>
          </w:p>
        </w:tc>
        <w:tc>
          <w:tcPr>
            <w:tcW w:w="236" w:type="dxa"/>
            <w:tcBorders>
              <w:top w:val="nil"/>
              <w:left w:val="nil"/>
              <w:bottom w:val="nil"/>
              <w:right w:val="nil"/>
            </w:tcBorders>
            <w:shd w:val="clear" w:color="auto" w:fill="auto"/>
            <w:noWrap/>
            <w:vAlign w:val="bottom"/>
            <w:hideMark/>
          </w:tcPr>
          <w:p w14:paraId="30E98062"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443A5BA9" w14:textId="77777777" w:rsidTr="00C07CD4">
        <w:trPr>
          <w:trHeight w:val="255"/>
        </w:trPr>
        <w:tc>
          <w:tcPr>
            <w:tcW w:w="4564" w:type="dxa"/>
            <w:gridSpan w:val="4"/>
            <w:tcBorders>
              <w:top w:val="nil"/>
              <w:left w:val="nil"/>
              <w:bottom w:val="nil"/>
              <w:right w:val="nil"/>
            </w:tcBorders>
            <w:shd w:val="clear" w:color="auto" w:fill="auto"/>
            <w:noWrap/>
            <w:vAlign w:val="bottom"/>
            <w:hideMark/>
          </w:tcPr>
          <w:p w14:paraId="525607BC"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(including accrued investment income)</w:t>
            </w:r>
          </w:p>
        </w:tc>
        <w:tc>
          <w:tcPr>
            <w:tcW w:w="1236" w:type="dxa"/>
            <w:tcBorders>
              <w:top w:val="nil"/>
              <w:left w:val="nil"/>
              <w:bottom w:val="nil"/>
              <w:right w:val="nil"/>
            </w:tcBorders>
            <w:shd w:val="clear" w:color="auto" w:fill="auto"/>
            <w:noWrap/>
            <w:vAlign w:val="bottom"/>
            <w:hideMark/>
          </w:tcPr>
          <w:p w14:paraId="49739A5A" w14:textId="77777777" w:rsidR="00C07CD4" w:rsidRPr="002B2821" w:rsidRDefault="00C07CD4" w:rsidP="00C07CD4">
            <w:pPr>
              <w:spacing w:after="0" w:line="240" w:lineRule="auto"/>
              <w:rPr>
                <w:rFonts w:ascii="Calibri" w:hAnsi="Calibri" w:cs="Arial"/>
                <w:color w:val="000000"/>
                <w:sz w:val="24"/>
                <w:szCs w:val="24"/>
                <w:lang w:eastAsia="en-GB"/>
              </w:rPr>
            </w:pPr>
          </w:p>
        </w:tc>
        <w:tc>
          <w:tcPr>
            <w:tcW w:w="436" w:type="dxa"/>
            <w:tcBorders>
              <w:top w:val="nil"/>
              <w:left w:val="nil"/>
              <w:bottom w:val="nil"/>
              <w:right w:val="nil"/>
            </w:tcBorders>
            <w:shd w:val="clear" w:color="auto" w:fill="auto"/>
            <w:noWrap/>
            <w:vAlign w:val="bottom"/>
            <w:hideMark/>
          </w:tcPr>
          <w:p w14:paraId="72F54D7A"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47AA38E8"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855F239" w14:textId="77777777" w:rsidR="00C07CD4" w:rsidRPr="002B2821" w:rsidRDefault="00C07CD4" w:rsidP="00C07CD4">
            <w:pPr>
              <w:spacing w:after="0" w:line="240" w:lineRule="auto"/>
              <w:jc w:val="right"/>
              <w:rPr>
                <w:lang w:eastAsia="en-GB"/>
              </w:rPr>
            </w:pPr>
          </w:p>
        </w:tc>
      </w:tr>
      <w:tr w:rsidR="00C07CD4" w:rsidRPr="002B2821" w14:paraId="01B6A5F5" w14:textId="77777777" w:rsidTr="00C07CD4">
        <w:trPr>
          <w:trHeight w:val="255"/>
        </w:trPr>
        <w:tc>
          <w:tcPr>
            <w:tcW w:w="2612" w:type="dxa"/>
            <w:gridSpan w:val="2"/>
            <w:tcBorders>
              <w:top w:val="nil"/>
              <w:left w:val="nil"/>
              <w:bottom w:val="nil"/>
              <w:right w:val="nil"/>
            </w:tcBorders>
            <w:shd w:val="clear" w:color="auto" w:fill="auto"/>
            <w:noWrap/>
            <w:vAlign w:val="bottom"/>
            <w:hideMark/>
          </w:tcPr>
          <w:p w14:paraId="345BFE27" w14:textId="77777777"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Total per Balance Sheet</w:t>
            </w:r>
          </w:p>
        </w:tc>
        <w:tc>
          <w:tcPr>
            <w:tcW w:w="1236" w:type="dxa"/>
            <w:tcBorders>
              <w:top w:val="nil"/>
              <w:left w:val="nil"/>
              <w:bottom w:val="nil"/>
              <w:right w:val="nil"/>
            </w:tcBorders>
            <w:shd w:val="clear" w:color="auto" w:fill="auto"/>
            <w:noWrap/>
            <w:vAlign w:val="bottom"/>
            <w:hideMark/>
          </w:tcPr>
          <w:p w14:paraId="4831DBC2"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3BC88728" w14:textId="77777777" w:rsidR="00C07CD4" w:rsidRPr="002B2821" w:rsidRDefault="00C07CD4" w:rsidP="00C07CD4">
            <w:pPr>
              <w:spacing w:after="0" w:line="240" w:lineRule="auto"/>
              <w:rPr>
                <w:lang w:eastAsia="en-GB"/>
              </w:rPr>
            </w:pPr>
          </w:p>
        </w:tc>
        <w:tc>
          <w:tcPr>
            <w:tcW w:w="1236" w:type="dxa"/>
            <w:tcBorders>
              <w:top w:val="single" w:sz="4" w:space="0" w:color="000000"/>
              <w:left w:val="nil"/>
              <w:bottom w:val="single" w:sz="4" w:space="0" w:color="000000"/>
              <w:right w:val="nil"/>
            </w:tcBorders>
            <w:shd w:val="clear" w:color="auto" w:fill="auto"/>
            <w:noWrap/>
            <w:vAlign w:val="bottom"/>
            <w:hideMark/>
          </w:tcPr>
          <w:p w14:paraId="16F5CFAB"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167,676</w:t>
            </w:r>
          </w:p>
        </w:tc>
        <w:tc>
          <w:tcPr>
            <w:tcW w:w="436" w:type="dxa"/>
            <w:tcBorders>
              <w:top w:val="single" w:sz="4" w:space="0" w:color="000000"/>
              <w:left w:val="nil"/>
              <w:bottom w:val="single" w:sz="4" w:space="0" w:color="000000"/>
              <w:right w:val="nil"/>
            </w:tcBorders>
            <w:shd w:val="clear" w:color="auto" w:fill="auto"/>
            <w:noWrap/>
            <w:vAlign w:val="bottom"/>
            <w:hideMark/>
          </w:tcPr>
          <w:p w14:paraId="6F2C8732"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176" w:type="dxa"/>
            <w:tcBorders>
              <w:top w:val="single" w:sz="4" w:space="0" w:color="000000"/>
              <w:left w:val="nil"/>
              <w:bottom w:val="single" w:sz="4" w:space="0" w:color="000000"/>
              <w:right w:val="nil"/>
            </w:tcBorders>
            <w:shd w:val="clear" w:color="auto" w:fill="auto"/>
            <w:noWrap/>
            <w:vAlign w:val="bottom"/>
            <w:hideMark/>
          </w:tcPr>
          <w:p w14:paraId="1A4B6C39"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157,766</w:t>
            </w:r>
          </w:p>
        </w:tc>
        <w:tc>
          <w:tcPr>
            <w:tcW w:w="236" w:type="dxa"/>
            <w:tcBorders>
              <w:top w:val="nil"/>
              <w:left w:val="nil"/>
              <w:bottom w:val="nil"/>
              <w:right w:val="nil"/>
            </w:tcBorders>
            <w:shd w:val="clear" w:color="auto" w:fill="auto"/>
            <w:noWrap/>
            <w:vAlign w:val="bottom"/>
            <w:hideMark/>
          </w:tcPr>
          <w:p w14:paraId="5A837F47"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bl>
    <w:p w14:paraId="57094F57" w14:textId="77777777" w:rsidR="00C07CD4" w:rsidRPr="002B2821" w:rsidRDefault="00C07CD4">
      <w:pPr>
        <w:tabs>
          <w:tab w:val="left" w:pos="0"/>
          <w:tab w:val="left" w:pos="720"/>
          <w:tab w:val="decimal" w:pos="5376"/>
          <w:tab w:val="decimal" w:pos="7256"/>
          <w:tab w:val="decimal" w:pos="8667"/>
        </w:tabs>
        <w:suppressAutoHyphens/>
        <w:spacing w:after="0" w:line="240" w:lineRule="auto"/>
        <w:jc w:val="both"/>
        <w:rPr>
          <w:rFonts w:asciiTheme="minorHAnsi" w:hAnsiTheme="minorHAnsi" w:cs="Arial"/>
          <w:spacing w:val="-3"/>
          <w:kern w:val="2"/>
          <w:sz w:val="24"/>
          <w:szCs w:val="24"/>
        </w:rPr>
      </w:pPr>
    </w:p>
    <w:p w14:paraId="3AA36689" w14:textId="77777777" w:rsidR="00B1587C" w:rsidRPr="002B2821" w:rsidRDefault="0091718F" w:rsidP="00E540A0">
      <w:pPr>
        <w:tabs>
          <w:tab w:val="left" w:pos="0"/>
          <w:tab w:val="left" w:pos="720"/>
          <w:tab w:val="decimal" w:pos="5376"/>
          <w:tab w:val="decimal" w:pos="7256"/>
          <w:tab w:val="decimal" w:pos="8667"/>
        </w:tabs>
        <w:suppressAutoHyphens/>
        <w:spacing w:after="180" w:line="240" w:lineRule="auto"/>
        <w:jc w:val="both"/>
        <w:rPr>
          <w:rFonts w:asciiTheme="minorHAnsi" w:hAnsiTheme="minorHAnsi" w:cs="Arial"/>
          <w:spacing w:val="-3"/>
          <w:kern w:val="2"/>
          <w:sz w:val="24"/>
          <w:szCs w:val="24"/>
        </w:rPr>
      </w:pPr>
      <w:r w:rsidRPr="002B2821">
        <w:rPr>
          <w:rFonts w:asciiTheme="minorHAnsi" w:hAnsiTheme="minorHAnsi" w:cs="Arial"/>
          <w:spacing w:val="-3"/>
          <w:kern w:val="2"/>
          <w:sz w:val="24"/>
          <w:szCs w:val="24"/>
        </w:rPr>
        <w:t>All investments are held as unrestricted funds.</w:t>
      </w:r>
    </w:p>
    <w:p w14:paraId="2F1E7E0C" w14:textId="77777777" w:rsidR="0083371E" w:rsidRPr="002B2821" w:rsidRDefault="0083371E">
      <w:pPr>
        <w:tabs>
          <w:tab w:val="left" w:pos="0"/>
          <w:tab w:val="left" w:pos="720"/>
          <w:tab w:val="decimal" w:pos="5376"/>
          <w:tab w:val="decimal" w:pos="7256"/>
          <w:tab w:val="decimal" w:pos="8667"/>
        </w:tabs>
        <w:suppressAutoHyphens/>
        <w:spacing w:after="0" w:line="240" w:lineRule="auto"/>
        <w:jc w:val="both"/>
        <w:rPr>
          <w:rFonts w:asciiTheme="minorHAnsi" w:hAnsiTheme="minorHAnsi" w:cs="Arial"/>
          <w:spacing w:val="-3"/>
          <w:kern w:val="2"/>
          <w:sz w:val="24"/>
          <w:szCs w:val="24"/>
        </w:rPr>
      </w:pPr>
    </w:p>
    <w:p w14:paraId="49C035D5" w14:textId="77777777" w:rsidR="00F11312" w:rsidRDefault="00F11312">
      <w:pPr>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1D2A72EC" w14:textId="776DC8E0" w:rsidR="00C6373E" w:rsidRPr="002B2821" w:rsidRDefault="00C6373E" w:rsidP="00C6373E">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C07CD4"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00878195" w14:textId="77777777" w:rsidR="008630AD" w:rsidRPr="002B2821" w:rsidRDefault="00116304" w:rsidP="00D94BB1">
      <w:pPr>
        <w:tabs>
          <w:tab w:val="left" w:pos="0"/>
          <w:tab w:val="left" w:pos="720"/>
          <w:tab w:val="decimal" w:pos="5376"/>
          <w:tab w:val="decimal" w:pos="7256"/>
          <w:tab w:val="decimal" w:pos="8667"/>
        </w:tabs>
        <w:suppressAutoHyphens/>
        <w:spacing w:after="120" w:line="240" w:lineRule="auto"/>
        <w:jc w:val="both"/>
        <w:rPr>
          <w:rFonts w:asciiTheme="minorHAnsi" w:hAnsiTheme="minorHAnsi" w:cs="Arial"/>
          <w:b/>
          <w:color w:val="442359"/>
          <w:spacing w:val="-3"/>
          <w:kern w:val="2"/>
          <w:sz w:val="24"/>
          <w:szCs w:val="24"/>
        </w:rPr>
      </w:pPr>
      <w:r w:rsidRPr="002B2821">
        <w:rPr>
          <w:rFonts w:asciiTheme="minorHAnsi" w:hAnsiTheme="minorHAnsi" w:cs="Arial"/>
          <w:color w:val="442359"/>
          <w:spacing w:val="-3"/>
          <w:kern w:val="2"/>
          <w:sz w:val="24"/>
          <w:szCs w:val="24"/>
        </w:rPr>
        <w:br/>
      </w:r>
      <w:r w:rsidR="00890F38" w:rsidRPr="002B2821">
        <w:rPr>
          <w:rFonts w:asciiTheme="minorHAnsi" w:hAnsiTheme="minorHAnsi" w:cs="Arial"/>
          <w:b/>
          <w:color w:val="442359"/>
          <w:spacing w:val="-3"/>
          <w:kern w:val="2"/>
          <w:sz w:val="24"/>
          <w:szCs w:val="24"/>
        </w:rPr>
        <w:t xml:space="preserve">9     </w:t>
      </w:r>
      <w:r w:rsidRPr="002B2821">
        <w:rPr>
          <w:rFonts w:asciiTheme="minorHAnsi" w:hAnsiTheme="minorHAnsi" w:cs="Arial"/>
          <w:b/>
          <w:color w:val="442359"/>
          <w:spacing w:val="-3"/>
          <w:kern w:val="2"/>
          <w:sz w:val="24"/>
          <w:szCs w:val="24"/>
        </w:rPr>
        <w:t>Investments (continued)</w:t>
      </w:r>
    </w:p>
    <w:p w14:paraId="5ED650FA" w14:textId="77777777" w:rsidR="00B1587C" w:rsidRPr="002B2821" w:rsidRDefault="00B1587C" w:rsidP="00E540A0">
      <w:pPr>
        <w:tabs>
          <w:tab w:val="left" w:pos="0"/>
          <w:tab w:val="left" w:pos="720"/>
          <w:tab w:val="decimal" w:pos="5376"/>
          <w:tab w:val="decimal" w:pos="7256"/>
          <w:tab w:val="decimal" w:pos="8667"/>
        </w:tabs>
        <w:suppressAutoHyphens/>
        <w:spacing w:after="180" w:line="240" w:lineRule="auto"/>
        <w:jc w:val="both"/>
        <w:rPr>
          <w:rFonts w:asciiTheme="minorHAnsi" w:hAnsiTheme="minorHAnsi" w:cs="Arial"/>
          <w:color w:val="000000" w:themeColor="text1"/>
          <w:spacing w:val="-3"/>
          <w:kern w:val="2"/>
          <w:sz w:val="24"/>
          <w:szCs w:val="24"/>
        </w:rPr>
      </w:pPr>
      <w:r w:rsidRPr="002B2821">
        <w:rPr>
          <w:rFonts w:asciiTheme="minorHAnsi" w:hAnsiTheme="minorHAnsi" w:cs="Arial"/>
          <w:color w:val="000000" w:themeColor="text1"/>
          <w:spacing w:val="-3"/>
          <w:kern w:val="2"/>
          <w:sz w:val="24"/>
          <w:szCs w:val="24"/>
        </w:rPr>
        <w:t>The movement on investments in the</w:t>
      </w:r>
      <w:r w:rsidR="00090E36" w:rsidRPr="002B2821">
        <w:rPr>
          <w:rFonts w:asciiTheme="minorHAnsi" w:hAnsiTheme="minorHAnsi" w:cs="Arial"/>
          <w:color w:val="000000" w:themeColor="text1"/>
          <w:spacing w:val="-3"/>
          <w:kern w:val="2"/>
          <w:sz w:val="24"/>
          <w:szCs w:val="24"/>
        </w:rPr>
        <w:t xml:space="preserve"> </w:t>
      </w:r>
      <w:r w:rsidR="004166D3" w:rsidRPr="002B2821">
        <w:rPr>
          <w:rFonts w:asciiTheme="minorHAnsi" w:hAnsiTheme="minorHAnsi" w:cs="Arial"/>
          <w:color w:val="000000" w:themeColor="text1"/>
          <w:spacing w:val="-3"/>
          <w:kern w:val="2"/>
          <w:sz w:val="24"/>
          <w:szCs w:val="24"/>
        </w:rPr>
        <w:t>year</w:t>
      </w:r>
      <w:r w:rsidRPr="002B2821">
        <w:rPr>
          <w:rFonts w:asciiTheme="minorHAnsi" w:hAnsiTheme="minorHAnsi" w:cs="Arial"/>
          <w:color w:val="000000" w:themeColor="text1"/>
          <w:spacing w:val="-3"/>
          <w:kern w:val="2"/>
          <w:sz w:val="24"/>
          <w:szCs w:val="24"/>
        </w:rPr>
        <w:t xml:space="preserve"> was as follows:</w:t>
      </w:r>
    </w:p>
    <w:tbl>
      <w:tblPr>
        <w:tblW w:w="7720" w:type="dxa"/>
        <w:tblLook w:val="04A0" w:firstRow="1" w:lastRow="0" w:firstColumn="1" w:lastColumn="0" w:noHBand="0" w:noVBand="1"/>
      </w:tblPr>
      <w:tblGrid>
        <w:gridCol w:w="1400"/>
        <w:gridCol w:w="1256"/>
        <w:gridCol w:w="1256"/>
        <w:gridCol w:w="724"/>
        <w:gridCol w:w="1236"/>
        <w:gridCol w:w="436"/>
        <w:gridCol w:w="1176"/>
        <w:gridCol w:w="236"/>
      </w:tblGrid>
      <w:tr w:rsidR="00C07CD4" w:rsidRPr="002B2821" w14:paraId="7671BBAE" w14:textId="77777777" w:rsidTr="00C07CD4">
        <w:trPr>
          <w:trHeight w:val="315"/>
        </w:trPr>
        <w:tc>
          <w:tcPr>
            <w:tcW w:w="1400" w:type="dxa"/>
            <w:tcBorders>
              <w:top w:val="nil"/>
              <w:left w:val="nil"/>
              <w:bottom w:val="nil"/>
              <w:right w:val="nil"/>
            </w:tcBorders>
            <w:shd w:val="clear" w:color="auto" w:fill="auto"/>
            <w:noWrap/>
            <w:vAlign w:val="bottom"/>
            <w:hideMark/>
          </w:tcPr>
          <w:p w14:paraId="7E6F3960" w14:textId="77777777" w:rsidR="00C07CD4" w:rsidRPr="002B2821" w:rsidRDefault="00C07CD4" w:rsidP="00C07CD4">
            <w:pPr>
              <w:spacing w:after="0" w:line="240" w:lineRule="auto"/>
              <w:rPr>
                <w:sz w:val="24"/>
                <w:szCs w:val="24"/>
                <w:lang w:eastAsia="en-GB"/>
              </w:rPr>
            </w:pPr>
          </w:p>
        </w:tc>
        <w:tc>
          <w:tcPr>
            <w:tcW w:w="1256" w:type="dxa"/>
            <w:tcBorders>
              <w:top w:val="nil"/>
              <w:left w:val="nil"/>
              <w:bottom w:val="nil"/>
              <w:right w:val="nil"/>
            </w:tcBorders>
            <w:shd w:val="clear" w:color="auto" w:fill="auto"/>
            <w:noWrap/>
            <w:vAlign w:val="bottom"/>
            <w:hideMark/>
          </w:tcPr>
          <w:p w14:paraId="0BF90DBE"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6C90DADB" w14:textId="77777777" w:rsidR="00C07CD4" w:rsidRPr="002B2821" w:rsidRDefault="00C07CD4" w:rsidP="00C07CD4">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0C29038A"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C7981E7" w14:textId="77777777" w:rsidR="00C07CD4" w:rsidRPr="002B2821" w:rsidRDefault="00C07CD4" w:rsidP="00C07C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436" w:type="dxa"/>
            <w:tcBorders>
              <w:top w:val="nil"/>
              <w:left w:val="nil"/>
              <w:bottom w:val="nil"/>
              <w:right w:val="nil"/>
            </w:tcBorders>
            <w:shd w:val="clear" w:color="auto" w:fill="auto"/>
            <w:noWrap/>
            <w:vAlign w:val="bottom"/>
            <w:hideMark/>
          </w:tcPr>
          <w:p w14:paraId="7C793A4E"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51BEB5CD"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36" w:type="dxa"/>
            <w:tcBorders>
              <w:top w:val="nil"/>
              <w:left w:val="nil"/>
              <w:bottom w:val="nil"/>
              <w:right w:val="nil"/>
            </w:tcBorders>
            <w:shd w:val="clear" w:color="auto" w:fill="auto"/>
            <w:noWrap/>
            <w:vAlign w:val="bottom"/>
            <w:hideMark/>
          </w:tcPr>
          <w:p w14:paraId="1C514FDE"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01AF7F2F" w14:textId="77777777" w:rsidTr="00C07CD4">
        <w:trPr>
          <w:trHeight w:val="315"/>
        </w:trPr>
        <w:tc>
          <w:tcPr>
            <w:tcW w:w="1400" w:type="dxa"/>
            <w:tcBorders>
              <w:top w:val="nil"/>
              <w:left w:val="nil"/>
              <w:bottom w:val="nil"/>
              <w:right w:val="nil"/>
            </w:tcBorders>
            <w:shd w:val="clear" w:color="auto" w:fill="auto"/>
            <w:noWrap/>
            <w:vAlign w:val="bottom"/>
            <w:hideMark/>
          </w:tcPr>
          <w:p w14:paraId="0439FFB8"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4013F2E9"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585AAFE8" w14:textId="77777777" w:rsidR="00C07CD4" w:rsidRPr="002B2821" w:rsidRDefault="00C07CD4" w:rsidP="00C07CD4">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2A1B3A4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196F427" w14:textId="77777777" w:rsidR="00C07CD4" w:rsidRPr="002B2821" w:rsidRDefault="00C07CD4" w:rsidP="00C07C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36" w:type="dxa"/>
            <w:tcBorders>
              <w:top w:val="nil"/>
              <w:left w:val="nil"/>
              <w:bottom w:val="nil"/>
              <w:right w:val="nil"/>
            </w:tcBorders>
            <w:shd w:val="clear" w:color="auto" w:fill="auto"/>
            <w:noWrap/>
            <w:vAlign w:val="bottom"/>
            <w:hideMark/>
          </w:tcPr>
          <w:p w14:paraId="472177E0"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6A00A204"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36" w:type="dxa"/>
            <w:tcBorders>
              <w:top w:val="nil"/>
              <w:left w:val="nil"/>
              <w:bottom w:val="nil"/>
              <w:right w:val="nil"/>
            </w:tcBorders>
            <w:shd w:val="clear" w:color="auto" w:fill="auto"/>
            <w:noWrap/>
            <w:vAlign w:val="bottom"/>
            <w:hideMark/>
          </w:tcPr>
          <w:p w14:paraId="355464E5"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75BAF7E1" w14:textId="77777777" w:rsidTr="00C07CD4">
        <w:trPr>
          <w:trHeight w:val="315"/>
        </w:trPr>
        <w:tc>
          <w:tcPr>
            <w:tcW w:w="1400" w:type="dxa"/>
            <w:tcBorders>
              <w:top w:val="nil"/>
              <w:left w:val="nil"/>
              <w:bottom w:val="nil"/>
              <w:right w:val="nil"/>
            </w:tcBorders>
            <w:shd w:val="clear" w:color="auto" w:fill="auto"/>
            <w:noWrap/>
            <w:vAlign w:val="bottom"/>
            <w:hideMark/>
          </w:tcPr>
          <w:p w14:paraId="44AEE752"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04ED05F1"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1409AE2B" w14:textId="77777777" w:rsidR="00C07CD4" w:rsidRPr="002B2821" w:rsidRDefault="00C07CD4" w:rsidP="00C07CD4">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526B634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CCBF1A7"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37029E96"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A8AB156"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35C23012" w14:textId="77777777" w:rsidR="00C07CD4" w:rsidRPr="002B2821" w:rsidRDefault="00C07CD4" w:rsidP="00C07CD4">
            <w:pPr>
              <w:spacing w:after="0" w:line="240" w:lineRule="auto"/>
              <w:jc w:val="right"/>
              <w:rPr>
                <w:lang w:eastAsia="en-GB"/>
              </w:rPr>
            </w:pPr>
          </w:p>
        </w:tc>
      </w:tr>
      <w:tr w:rsidR="00C07CD4" w:rsidRPr="002B2821" w14:paraId="6C3B4716" w14:textId="77777777" w:rsidTr="00C07CD4">
        <w:trPr>
          <w:trHeight w:val="315"/>
        </w:trPr>
        <w:tc>
          <w:tcPr>
            <w:tcW w:w="3912" w:type="dxa"/>
            <w:gridSpan w:val="3"/>
            <w:tcBorders>
              <w:top w:val="nil"/>
              <w:left w:val="nil"/>
              <w:bottom w:val="nil"/>
              <w:right w:val="nil"/>
            </w:tcBorders>
            <w:shd w:val="clear" w:color="auto" w:fill="auto"/>
            <w:noWrap/>
            <w:vAlign w:val="bottom"/>
            <w:hideMark/>
          </w:tcPr>
          <w:p w14:paraId="20C46EAC" w14:textId="4ECF6F57" w:rsidR="00C07CD4" w:rsidRPr="002B2821" w:rsidRDefault="00C07CD4" w:rsidP="005808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Market value </w:t>
            </w:r>
            <w:r w:rsidR="000E1077">
              <w:rPr>
                <w:rFonts w:ascii="Calibri" w:hAnsi="Calibri" w:cs="Arial"/>
                <w:color w:val="000000"/>
                <w:sz w:val="24"/>
                <w:szCs w:val="24"/>
                <w:lang w:eastAsia="en-GB"/>
              </w:rPr>
              <w:t>at</w:t>
            </w:r>
            <w:r w:rsidRPr="002B2821">
              <w:rPr>
                <w:rFonts w:ascii="Calibri" w:hAnsi="Calibri" w:cs="Arial"/>
                <w:color w:val="000000"/>
                <w:sz w:val="24"/>
                <w:szCs w:val="24"/>
                <w:lang w:eastAsia="en-GB"/>
              </w:rPr>
              <w:t xml:space="preserve"> 1 October 201</w:t>
            </w:r>
            <w:r w:rsidR="000E1077">
              <w:rPr>
                <w:rFonts w:ascii="Calibri" w:hAnsi="Calibri" w:cs="Arial"/>
                <w:color w:val="000000"/>
                <w:sz w:val="24"/>
                <w:szCs w:val="24"/>
                <w:lang w:eastAsia="en-GB"/>
              </w:rPr>
              <w:t>7/2016</w:t>
            </w:r>
          </w:p>
        </w:tc>
        <w:tc>
          <w:tcPr>
            <w:tcW w:w="724" w:type="dxa"/>
            <w:tcBorders>
              <w:top w:val="nil"/>
              <w:left w:val="nil"/>
              <w:bottom w:val="nil"/>
              <w:right w:val="nil"/>
            </w:tcBorders>
            <w:shd w:val="clear" w:color="auto" w:fill="auto"/>
            <w:noWrap/>
            <w:vAlign w:val="bottom"/>
            <w:hideMark/>
          </w:tcPr>
          <w:p w14:paraId="2AD680BF"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bottom"/>
            <w:hideMark/>
          </w:tcPr>
          <w:p w14:paraId="0215E513"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157,766</w:t>
            </w:r>
          </w:p>
        </w:tc>
        <w:tc>
          <w:tcPr>
            <w:tcW w:w="436" w:type="dxa"/>
            <w:tcBorders>
              <w:top w:val="nil"/>
              <w:left w:val="nil"/>
              <w:bottom w:val="nil"/>
              <w:right w:val="nil"/>
            </w:tcBorders>
            <w:shd w:val="clear" w:color="auto" w:fill="auto"/>
            <w:noWrap/>
            <w:vAlign w:val="bottom"/>
            <w:hideMark/>
          </w:tcPr>
          <w:p w14:paraId="1D01BA89"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665DC8D3"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141,864</w:t>
            </w:r>
          </w:p>
        </w:tc>
        <w:tc>
          <w:tcPr>
            <w:tcW w:w="236" w:type="dxa"/>
            <w:tcBorders>
              <w:top w:val="nil"/>
              <w:left w:val="nil"/>
              <w:bottom w:val="nil"/>
              <w:right w:val="nil"/>
            </w:tcBorders>
            <w:shd w:val="clear" w:color="auto" w:fill="auto"/>
            <w:noWrap/>
            <w:vAlign w:val="bottom"/>
            <w:hideMark/>
          </w:tcPr>
          <w:p w14:paraId="36EE3A31"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0FE080C5"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72C0B362"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Less: Disposal proceeds/ share exchanges</w:t>
            </w:r>
          </w:p>
        </w:tc>
        <w:tc>
          <w:tcPr>
            <w:tcW w:w="1236" w:type="dxa"/>
            <w:tcBorders>
              <w:top w:val="nil"/>
              <w:left w:val="nil"/>
              <w:bottom w:val="nil"/>
              <w:right w:val="nil"/>
            </w:tcBorders>
            <w:shd w:val="clear" w:color="auto" w:fill="auto"/>
            <w:noWrap/>
            <w:vAlign w:val="bottom"/>
            <w:hideMark/>
          </w:tcPr>
          <w:p w14:paraId="65AEA2A5" w14:textId="4CAA1B81" w:rsidR="00C07CD4" w:rsidRPr="002B2821" w:rsidRDefault="00C07CD4" w:rsidP="006130D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(40,1</w:t>
            </w:r>
            <w:r w:rsidR="006130DD" w:rsidRPr="002B2821">
              <w:rPr>
                <w:rFonts w:ascii="Calibri" w:hAnsi="Calibri" w:cs="Arial"/>
                <w:b/>
                <w:bCs/>
                <w:color w:val="000000"/>
                <w:sz w:val="24"/>
                <w:szCs w:val="24"/>
                <w:lang w:eastAsia="en-GB"/>
              </w:rPr>
              <w:t>95</w:t>
            </w:r>
            <w:r w:rsidRPr="002B2821">
              <w:rPr>
                <w:rFonts w:ascii="Calibri" w:hAnsi="Calibri" w:cs="Arial"/>
                <w:b/>
                <w:bCs/>
                <w:color w:val="000000"/>
                <w:sz w:val="24"/>
                <w:szCs w:val="24"/>
                <w:lang w:eastAsia="en-GB"/>
              </w:rPr>
              <w:t>)</w:t>
            </w:r>
          </w:p>
        </w:tc>
        <w:tc>
          <w:tcPr>
            <w:tcW w:w="436" w:type="dxa"/>
            <w:tcBorders>
              <w:top w:val="nil"/>
              <w:left w:val="nil"/>
              <w:bottom w:val="nil"/>
              <w:right w:val="nil"/>
            </w:tcBorders>
            <w:shd w:val="clear" w:color="auto" w:fill="auto"/>
            <w:noWrap/>
            <w:vAlign w:val="bottom"/>
            <w:hideMark/>
          </w:tcPr>
          <w:p w14:paraId="77A29171"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32B2A5C5"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(38,264)</w:t>
            </w:r>
          </w:p>
        </w:tc>
        <w:tc>
          <w:tcPr>
            <w:tcW w:w="236" w:type="dxa"/>
            <w:tcBorders>
              <w:top w:val="nil"/>
              <w:left w:val="nil"/>
              <w:bottom w:val="nil"/>
              <w:right w:val="nil"/>
            </w:tcBorders>
            <w:shd w:val="clear" w:color="auto" w:fill="auto"/>
            <w:noWrap/>
            <w:vAlign w:val="bottom"/>
            <w:hideMark/>
          </w:tcPr>
          <w:p w14:paraId="0A8E4B04"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1250862A"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66118BB1"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Add: Purchases at cost/share exchanges</w:t>
            </w:r>
          </w:p>
        </w:tc>
        <w:tc>
          <w:tcPr>
            <w:tcW w:w="1236" w:type="dxa"/>
            <w:tcBorders>
              <w:top w:val="nil"/>
              <w:left w:val="nil"/>
              <w:bottom w:val="nil"/>
              <w:right w:val="nil"/>
            </w:tcBorders>
            <w:shd w:val="clear" w:color="auto" w:fill="auto"/>
            <w:noWrap/>
            <w:vAlign w:val="bottom"/>
            <w:hideMark/>
          </w:tcPr>
          <w:p w14:paraId="4A28EF66" w14:textId="2253631C" w:rsidR="00C07CD4" w:rsidRPr="002B2821" w:rsidRDefault="00C07CD4" w:rsidP="006130DD">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42,9</w:t>
            </w:r>
            <w:r w:rsidR="006130DD" w:rsidRPr="002B2821">
              <w:rPr>
                <w:rFonts w:ascii="Calibri" w:hAnsi="Calibri" w:cs="Arial"/>
                <w:b/>
                <w:bCs/>
                <w:color w:val="000000"/>
                <w:sz w:val="24"/>
                <w:szCs w:val="24"/>
                <w:lang w:eastAsia="en-GB"/>
              </w:rPr>
              <w:t>92</w:t>
            </w:r>
          </w:p>
        </w:tc>
        <w:tc>
          <w:tcPr>
            <w:tcW w:w="436" w:type="dxa"/>
            <w:tcBorders>
              <w:top w:val="nil"/>
              <w:left w:val="nil"/>
              <w:bottom w:val="nil"/>
              <w:right w:val="nil"/>
            </w:tcBorders>
            <w:shd w:val="clear" w:color="auto" w:fill="auto"/>
            <w:noWrap/>
            <w:vAlign w:val="bottom"/>
            <w:hideMark/>
          </w:tcPr>
          <w:p w14:paraId="1F74FDB0"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66351669"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38,786</w:t>
            </w:r>
          </w:p>
        </w:tc>
        <w:tc>
          <w:tcPr>
            <w:tcW w:w="236" w:type="dxa"/>
            <w:tcBorders>
              <w:top w:val="nil"/>
              <w:left w:val="nil"/>
              <w:bottom w:val="nil"/>
              <w:right w:val="nil"/>
            </w:tcBorders>
            <w:shd w:val="clear" w:color="auto" w:fill="auto"/>
            <w:noWrap/>
            <w:vAlign w:val="bottom"/>
            <w:hideMark/>
          </w:tcPr>
          <w:p w14:paraId="1DA9B34E"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4D8E7DD0"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279D978B" w14:textId="04933315" w:rsidR="00C07CD4" w:rsidRPr="002B2821" w:rsidRDefault="00C07CD4" w:rsidP="008A1DB8">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Realised and unrealised gains</w:t>
            </w:r>
          </w:p>
        </w:tc>
        <w:tc>
          <w:tcPr>
            <w:tcW w:w="1236" w:type="dxa"/>
            <w:tcBorders>
              <w:top w:val="nil"/>
              <w:left w:val="nil"/>
              <w:bottom w:val="nil"/>
              <w:right w:val="nil"/>
            </w:tcBorders>
            <w:shd w:val="clear" w:color="auto" w:fill="auto"/>
            <w:noWrap/>
            <w:vAlign w:val="bottom"/>
            <w:hideMark/>
          </w:tcPr>
          <w:p w14:paraId="63CB8A88"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9,811</w:t>
            </w:r>
          </w:p>
        </w:tc>
        <w:tc>
          <w:tcPr>
            <w:tcW w:w="436" w:type="dxa"/>
            <w:tcBorders>
              <w:top w:val="nil"/>
              <w:left w:val="nil"/>
              <w:bottom w:val="nil"/>
              <w:right w:val="nil"/>
            </w:tcBorders>
            <w:shd w:val="clear" w:color="auto" w:fill="auto"/>
            <w:noWrap/>
            <w:vAlign w:val="bottom"/>
            <w:hideMark/>
          </w:tcPr>
          <w:p w14:paraId="128E77D9"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7E987DA5"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13,933</w:t>
            </w:r>
          </w:p>
        </w:tc>
        <w:tc>
          <w:tcPr>
            <w:tcW w:w="236" w:type="dxa"/>
            <w:tcBorders>
              <w:top w:val="nil"/>
              <w:left w:val="nil"/>
              <w:bottom w:val="nil"/>
              <w:right w:val="nil"/>
            </w:tcBorders>
            <w:shd w:val="clear" w:color="auto" w:fill="auto"/>
            <w:noWrap/>
            <w:vAlign w:val="bottom"/>
            <w:hideMark/>
          </w:tcPr>
          <w:p w14:paraId="3B191D86"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44E30B43"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0E457B20" w14:textId="742CDDCB" w:rsidR="00C07CD4" w:rsidRPr="002B2821" w:rsidRDefault="006C23E6">
            <w:pPr>
              <w:spacing w:after="0" w:line="240" w:lineRule="auto"/>
              <w:rPr>
                <w:rFonts w:ascii="Calibri" w:hAnsi="Calibri" w:cs="Arial"/>
                <w:color w:val="000000"/>
                <w:sz w:val="24"/>
                <w:szCs w:val="24"/>
                <w:lang w:eastAsia="en-GB"/>
              </w:rPr>
            </w:pPr>
            <w:r>
              <w:rPr>
                <w:rFonts w:ascii="Calibri" w:hAnsi="Calibri" w:cs="Arial"/>
                <w:color w:val="000000"/>
                <w:sz w:val="24"/>
                <w:szCs w:val="24"/>
                <w:lang w:eastAsia="en-GB"/>
              </w:rPr>
              <w:t>(De</w:t>
            </w:r>
            <w:r w:rsidR="00C07CD4" w:rsidRPr="002B2821">
              <w:rPr>
                <w:rFonts w:ascii="Calibri" w:hAnsi="Calibri" w:cs="Arial"/>
                <w:color w:val="000000"/>
                <w:sz w:val="24"/>
                <w:szCs w:val="24"/>
                <w:lang w:eastAsia="en-GB"/>
              </w:rPr>
              <w:t>crease</w:t>
            </w:r>
            <w:r>
              <w:rPr>
                <w:rFonts w:ascii="Calibri" w:hAnsi="Calibri" w:cs="Arial"/>
                <w:color w:val="000000"/>
                <w:sz w:val="24"/>
                <w:szCs w:val="24"/>
                <w:lang w:eastAsia="en-GB"/>
              </w:rPr>
              <w:t>)</w:t>
            </w:r>
            <w:r w:rsidR="00C07CD4" w:rsidRPr="002B2821">
              <w:rPr>
                <w:rFonts w:ascii="Calibri" w:hAnsi="Calibri" w:cs="Arial"/>
                <w:color w:val="000000"/>
                <w:sz w:val="24"/>
                <w:szCs w:val="24"/>
                <w:lang w:eastAsia="en-GB"/>
              </w:rPr>
              <w:t>/</w:t>
            </w:r>
            <w:r>
              <w:rPr>
                <w:rFonts w:ascii="Calibri" w:hAnsi="Calibri" w:cs="Arial"/>
                <w:color w:val="000000"/>
                <w:sz w:val="24"/>
                <w:szCs w:val="24"/>
                <w:lang w:eastAsia="en-GB"/>
              </w:rPr>
              <w:t>increase</w:t>
            </w:r>
            <w:r w:rsidR="00C07CD4" w:rsidRPr="002B2821">
              <w:rPr>
                <w:rFonts w:ascii="Calibri" w:hAnsi="Calibri" w:cs="Arial"/>
                <w:color w:val="000000"/>
                <w:sz w:val="24"/>
                <w:szCs w:val="24"/>
                <w:lang w:eastAsia="en-GB"/>
              </w:rPr>
              <w:t xml:space="preserve"> in cash held for investment </w:t>
            </w:r>
          </w:p>
        </w:tc>
        <w:tc>
          <w:tcPr>
            <w:tcW w:w="1236" w:type="dxa"/>
            <w:tcBorders>
              <w:top w:val="nil"/>
              <w:left w:val="nil"/>
              <w:bottom w:val="nil"/>
              <w:right w:val="nil"/>
            </w:tcBorders>
            <w:shd w:val="clear" w:color="auto" w:fill="auto"/>
            <w:noWrap/>
            <w:vAlign w:val="bottom"/>
            <w:hideMark/>
          </w:tcPr>
          <w:p w14:paraId="1A913BF7"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(2,698)</w:t>
            </w:r>
          </w:p>
        </w:tc>
        <w:tc>
          <w:tcPr>
            <w:tcW w:w="436" w:type="dxa"/>
            <w:tcBorders>
              <w:top w:val="nil"/>
              <w:left w:val="nil"/>
              <w:bottom w:val="nil"/>
              <w:right w:val="nil"/>
            </w:tcBorders>
            <w:shd w:val="clear" w:color="auto" w:fill="auto"/>
            <w:noWrap/>
            <w:vAlign w:val="bottom"/>
            <w:hideMark/>
          </w:tcPr>
          <w:p w14:paraId="50B63531"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bottom"/>
            <w:hideMark/>
          </w:tcPr>
          <w:p w14:paraId="7923770F"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1,447</w:t>
            </w:r>
          </w:p>
        </w:tc>
        <w:tc>
          <w:tcPr>
            <w:tcW w:w="236" w:type="dxa"/>
            <w:tcBorders>
              <w:top w:val="nil"/>
              <w:left w:val="nil"/>
              <w:bottom w:val="nil"/>
              <w:right w:val="nil"/>
            </w:tcBorders>
            <w:shd w:val="clear" w:color="auto" w:fill="auto"/>
            <w:noWrap/>
            <w:vAlign w:val="bottom"/>
            <w:hideMark/>
          </w:tcPr>
          <w:p w14:paraId="609B679E"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5591F3CA"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5533F4A3"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(including accrued investment income)</w:t>
            </w:r>
          </w:p>
        </w:tc>
        <w:tc>
          <w:tcPr>
            <w:tcW w:w="1236" w:type="dxa"/>
            <w:tcBorders>
              <w:top w:val="nil"/>
              <w:left w:val="nil"/>
              <w:bottom w:val="nil"/>
              <w:right w:val="nil"/>
            </w:tcBorders>
            <w:shd w:val="clear" w:color="auto" w:fill="auto"/>
            <w:noWrap/>
            <w:vAlign w:val="bottom"/>
            <w:hideMark/>
          </w:tcPr>
          <w:p w14:paraId="453CEF40" w14:textId="77777777" w:rsidR="00C07CD4" w:rsidRPr="002B2821" w:rsidRDefault="00C07CD4" w:rsidP="00C07CD4">
            <w:pPr>
              <w:spacing w:after="0" w:line="240" w:lineRule="auto"/>
              <w:rPr>
                <w:rFonts w:ascii="Calibri" w:hAnsi="Calibri" w:cs="Arial"/>
                <w:color w:val="000000"/>
                <w:sz w:val="24"/>
                <w:szCs w:val="24"/>
                <w:lang w:eastAsia="en-GB"/>
              </w:rPr>
            </w:pPr>
          </w:p>
        </w:tc>
        <w:tc>
          <w:tcPr>
            <w:tcW w:w="436" w:type="dxa"/>
            <w:tcBorders>
              <w:top w:val="nil"/>
              <w:left w:val="nil"/>
              <w:bottom w:val="nil"/>
              <w:right w:val="nil"/>
            </w:tcBorders>
            <w:shd w:val="clear" w:color="auto" w:fill="auto"/>
            <w:noWrap/>
            <w:vAlign w:val="bottom"/>
            <w:hideMark/>
          </w:tcPr>
          <w:p w14:paraId="4DB34284"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710B9ABE"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653C4E3A" w14:textId="77777777" w:rsidR="00C07CD4" w:rsidRPr="002B2821" w:rsidRDefault="00C07CD4" w:rsidP="00C07CD4">
            <w:pPr>
              <w:spacing w:after="0" w:line="240" w:lineRule="auto"/>
              <w:jc w:val="right"/>
              <w:rPr>
                <w:lang w:eastAsia="en-GB"/>
              </w:rPr>
            </w:pPr>
          </w:p>
        </w:tc>
      </w:tr>
      <w:tr w:rsidR="00C07CD4" w:rsidRPr="002B2821" w14:paraId="4288FC7A" w14:textId="77777777" w:rsidTr="00C07CD4">
        <w:trPr>
          <w:trHeight w:val="315"/>
        </w:trPr>
        <w:tc>
          <w:tcPr>
            <w:tcW w:w="3912" w:type="dxa"/>
            <w:gridSpan w:val="3"/>
            <w:tcBorders>
              <w:top w:val="nil"/>
              <w:left w:val="nil"/>
              <w:bottom w:val="nil"/>
              <w:right w:val="nil"/>
            </w:tcBorders>
            <w:shd w:val="clear" w:color="auto" w:fill="auto"/>
            <w:noWrap/>
            <w:vAlign w:val="bottom"/>
            <w:hideMark/>
          </w:tcPr>
          <w:p w14:paraId="5C4A4F62" w14:textId="1CF6ED23"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Market Value at 30 September 2018</w:t>
            </w:r>
            <w:r w:rsidR="000E1077">
              <w:rPr>
                <w:rFonts w:ascii="Calibri" w:hAnsi="Calibri" w:cs="Arial"/>
                <w:b/>
                <w:bCs/>
                <w:color w:val="000000"/>
                <w:sz w:val="24"/>
                <w:szCs w:val="24"/>
                <w:lang w:eastAsia="en-GB"/>
              </w:rPr>
              <w:t>/2017</w:t>
            </w:r>
          </w:p>
        </w:tc>
        <w:tc>
          <w:tcPr>
            <w:tcW w:w="724" w:type="dxa"/>
            <w:tcBorders>
              <w:top w:val="nil"/>
              <w:left w:val="nil"/>
              <w:bottom w:val="nil"/>
              <w:right w:val="nil"/>
            </w:tcBorders>
            <w:shd w:val="clear" w:color="auto" w:fill="auto"/>
            <w:noWrap/>
            <w:vAlign w:val="bottom"/>
            <w:hideMark/>
          </w:tcPr>
          <w:p w14:paraId="29D44A3B" w14:textId="77777777" w:rsidR="00C07CD4" w:rsidRPr="002B2821" w:rsidRDefault="00C07CD4" w:rsidP="00C07CD4">
            <w:pPr>
              <w:spacing w:after="0" w:line="240" w:lineRule="auto"/>
              <w:rPr>
                <w:rFonts w:ascii="Calibri" w:hAnsi="Calibri" w:cs="Arial"/>
                <w:b/>
                <w:bCs/>
                <w:color w:val="000000"/>
                <w:sz w:val="24"/>
                <w:szCs w:val="24"/>
                <w:lang w:eastAsia="en-GB"/>
              </w:rPr>
            </w:pPr>
          </w:p>
        </w:tc>
        <w:tc>
          <w:tcPr>
            <w:tcW w:w="1236" w:type="dxa"/>
            <w:tcBorders>
              <w:top w:val="single" w:sz="4" w:space="0" w:color="000000"/>
              <w:left w:val="nil"/>
              <w:bottom w:val="single" w:sz="4" w:space="0" w:color="000000"/>
              <w:right w:val="nil"/>
            </w:tcBorders>
            <w:shd w:val="clear" w:color="auto" w:fill="auto"/>
            <w:noWrap/>
            <w:vAlign w:val="bottom"/>
            <w:hideMark/>
          </w:tcPr>
          <w:p w14:paraId="503074ED"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167,676</w:t>
            </w:r>
          </w:p>
        </w:tc>
        <w:tc>
          <w:tcPr>
            <w:tcW w:w="436" w:type="dxa"/>
            <w:tcBorders>
              <w:top w:val="single" w:sz="4" w:space="0" w:color="000000"/>
              <w:left w:val="nil"/>
              <w:bottom w:val="single" w:sz="4" w:space="0" w:color="000000"/>
              <w:right w:val="nil"/>
            </w:tcBorders>
            <w:shd w:val="clear" w:color="auto" w:fill="auto"/>
            <w:noWrap/>
            <w:vAlign w:val="bottom"/>
            <w:hideMark/>
          </w:tcPr>
          <w:p w14:paraId="6E028A7A"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176" w:type="dxa"/>
            <w:tcBorders>
              <w:top w:val="single" w:sz="4" w:space="0" w:color="000000"/>
              <w:left w:val="nil"/>
              <w:bottom w:val="single" w:sz="4" w:space="0" w:color="000000"/>
              <w:right w:val="nil"/>
            </w:tcBorders>
            <w:shd w:val="clear" w:color="auto" w:fill="auto"/>
            <w:noWrap/>
            <w:vAlign w:val="bottom"/>
            <w:hideMark/>
          </w:tcPr>
          <w:p w14:paraId="7287571D"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157,766</w:t>
            </w:r>
          </w:p>
        </w:tc>
        <w:tc>
          <w:tcPr>
            <w:tcW w:w="236" w:type="dxa"/>
            <w:tcBorders>
              <w:top w:val="nil"/>
              <w:left w:val="nil"/>
              <w:bottom w:val="nil"/>
              <w:right w:val="nil"/>
            </w:tcBorders>
            <w:shd w:val="clear" w:color="auto" w:fill="auto"/>
            <w:noWrap/>
            <w:vAlign w:val="bottom"/>
            <w:hideMark/>
          </w:tcPr>
          <w:p w14:paraId="4D25E9D9"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069B8E75" w14:textId="77777777" w:rsidTr="00C07CD4">
        <w:trPr>
          <w:trHeight w:val="315"/>
        </w:trPr>
        <w:tc>
          <w:tcPr>
            <w:tcW w:w="1400" w:type="dxa"/>
            <w:tcBorders>
              <w:top w:val="nil"/>
              <w:left w:val="nil"/>
              <w:bottom w:val="nil"/>
              <w:right w:val="nil"/>
            </w:tcBorders>
            <w:shd w:val="clear" w:color="auto" w:fill="auto"/>
            <w:noWrap/>
            <w:vAlign w:val="bottom"/>
            <w:hideMark/>
          </w:tcPr>
          <w:p w14:paraId="1C4ABB93"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7A0AB56A" w14:textId="77777777" w:rsidR="00C07CD4" w:rsidRPr="002B2821" w:rsidRDefault="00C07CD4" w:rsidP="00C07CD4">
            <w:pPr>
              <w:spacing w:after="0" w:line="240" w:lineRule="auto"/>
              <w:rPr>
                <w:lang w:eastAsia="en-GB"/>
              </w:rPr>
            </w:pPr>
          </w:p>
        </w:tc>
        <w:tc>
          <w:tcPr>
            <w:tcW w:w="1256" w:type="dxa"/>
            <w:tcBorders>
              <w:top w:val="nil"/>
              <w:left w:val="nil"/>
              <w:bottom w:val="nil"/>
              <w:right w:val="nil"/>
            </w:tcBorders>
            <w:shd w:val="clear" w:color="auto" w:fill="auto"/>
            <w:noWrap/>
            <w:vAlign w:val="bottom"/>
            <w:hideMark/>
          </w:tcPr>
          <w:p w14:paraId="07DE9A7F" w14:textId="77777777" w:rsidR="00C07CD4" w:rsidRPr="002B2821" w:rsidRDefault="00C07CD4" w:rsidP="00C07CD4">
            <w:pPr>
              <w:spacing w:after="0" w:line="240" w:lineRule="auto"/>
              <w:rPr>
                <w:lang w:eastAsia="en-GB"/>
              </w:rPr>
            </w:pPr>
          </w:p>
        </w:tc>
        <w:tc>
          <w:tcPr>
            <w:tcW w:w="724" w:type="dxa"/>
            <w:tcBorders>
              <w:top w:val="nil"/>
              <w:left w:val="nil"/>
              <w:bottom w:val="nil"/>
              <w:right w:val="nil"/>
            </w:tcBorders>
            <w:shd w:val="clear" w:color="auto" w:fill="auto"/>
            <w:noWrap/>
            <w:vAlign w:val="bottom"/>
            <w:hideMark/>
          </w:tcPr>
          <w:p w14:paraId="01D9BEB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19759439" w14:textId="77777777" w:rsidR="00C07CD4" w:rsidRPr="002B2821" w:rsidRDefault="00C07CD4" w:rsidP="00C07CD4">
            <w:pPr>
              <w:spacing w:after="0" w:line="240" w:lineRule="auto"/>
              <w:rPr>
                <w:lang w:eastAsia="en-GB"/>
              </w:rPr>
            </w:pPr>
          </w:p>
        </w:tc>
        <w:tc>
          <w:tcPr>
            <w:tcW w:w="436" w:type="dxa"/>
            <w:tcBorders>
              <w:top w:val="nil"/>
              <w:left w:val="nil"/>
              <w:bottom w:val="nil"/>
              <w:right w:val="nil"/>
            </w:tcBorders>
            <w:shd w:val="clear" w:color="auto" w:fill="auto"/>
            <w:noWrap/>
            <w:vAlign w:val="bottom"/>
            <w:hideMark/>
          </w:tcPr>
          <w:p w14:paraId="4EC41537" w14:textId="77777777" w:rsidR="00C07CD4" w:rsidRPr="002B2821" w:rsidRDefault="00C07CD4" w:rsidP="00C07CD4">
            <w:pPr>
              <w:spacing w:after="0" w:line="240" w:lineRule="auto"/>
              <w:jc w:val="right"/>
              <w:rPr>
                <w:lang w:eastAsia="en-GB"/>
              </w:rPr>
            </w:pPr>
          </w:p>
        </w:tc>
        <w:tc>
          <w:tcPr>
            <w:tcW w:w="1176" w:type="dxa"/>
            <w:tcBorders>
              <w:top w:val="nil"/>
              <w:left w:val="nil"/>
              <w:bottom w:val="nil"/>
              <w:right w:val="nil"/>
            </w:tcBorders>
            <w:shd w:val="clear" w:color="auto" w:fill="auto"/>
            <w:noWrap/>
            <w:vAlign w:val="bottom"/>
            <w:hideMark/>
          </w:tcPr>
          <w:p w14:paraId="536ECCE6"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5CB77F4D" w14:textId="77777777" w:rsidR="00C07CD4" w:rsidRPr="002B2821" w:rsidRDefault="00C07CD4" w:rsidP="00C07CD4">
            <w:pPr>
              <w:spacing w:after="0" w:line="240" w:lineRule="auto"/>
              <w:jc w:val="right"/>
              <w:rPr>
                <w:lang w:eastAsia="en-GB"/>
              </w:rPr>
            </w:pPr>
          </w:p>
        </w:tc>
      </w:tr>
      <w:tr w:rsidR="00C07CD4" w:rsidRPr="002B2821" w14:paraId="5F6D963E" w14:textId="77777777" w:rsidTr="00C07CD4">
        <w:trPr>
          <w:trHeight w:val="315"/>
        </w:trPr>
        <w:tc>
          <w:tcPr>
            <w:tcW w:w="4636" w:type="dxa"/>
            <w:gridSpan w:val="4"/>
            <w:tcBorders>
              <w:top w:val="nil"/>
              <w:left w:val="nil"/>
              <w:bottom w:val="nil"/>
              <w:right w:val="nil"/>
            </w:tcBorders>
            <w:shd w:val="clear" w:color="auto" w:fill="auto"/>
            <w:noWrap/>
            <w:vAlign w:val="bottom"/>
            <w:hideMark/>
          </w:tcPr>
          <w:p w14:paraId="18B4DE0C" w14:textId="5826FE4D" w:rsidR="00C07CD4" w:rsidRPr="002B2821" w:rsidRDefault="00C07CD4" w:rsidP="00C07CD4">
            <w:pPr>
              <w:spacing w:after="0" w:line="240" w:lineRule="auto"/>
              <w:rPr>
                <w:rFonts w:ascii="Calibri" w:hAnsi="Calibri" w:cs="Arial"/>
                <w:b/>
                <w:bCs/>
                <w:color w:val="000000"/>
                <w:sz w:val="24"/>
                <w:szCs w:val="24"/>
                <w:lang w:eastAsia="en-GB"/>
              </w:rPr>
            </w:pPr>
            <w:r w:rsidRPr="002B2821">
              <w:rPr>
                <w:rFonts w:ascii="Calibri" w:hAnsi="Calibri" w:cs="Arial"/>
                <w:b/>
                <w:bCs/>
                <w:color w:val="000000"/>
                <w:sz w:val="24"/>
                <w:szCs w:val="24"/>
                <w:lang w:eastAsia="en-GB"/>
              </w:rPr>
              <w:t>Historical cost at 30 September 2018</w:t>
            </w:r>
            <w:r w:rsidR="000E1077">
              <w:rPr>
                <w:rFonts w:ascii="Calibri" w:hAnsi="Calibri" w:cs="Arial"/>
                <w:b/>
                <w:bCs/>
                <w:color w:val="000000"/>
                <w:sz w:val="24"/>
                <w:szCs w:val="24"/>
                <w:lang w:eastAsia="en-GB"/>
              </w:rPr>
              <w:t>/2017</w:t>
            </w:r>
          </w:p>
        </w:tc>
        <w:tc>
          <w:tcPr>
            <w:tcW w:w="1236" w:type="dxa"/>
            <w:tcBorders>
              <w:top w:val="nil"/>
              <w:left w:val="nil"/>
              <w:bottom w:val="single" w:sz="4" w:space="0" w:color="000000"/>
              <w:right w:val="nil"/>
            </w:tcBorders>
            <w:shd w:val="clear" w:color="auto" w:fill="auto"/>
            <w:noWrap/>
            <w:vAlign w:val="bottom"/>
            <w:hideMark/>
          </w:tcPr>
          <w:p w14:paraId="6DB72708" w14:textId="77777777" w:rsidR="00C07CD4" w:rsidRPr="002B2821" w:rsidRDefault="00C07CD4" w:rsidP="00C07C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131,706</w:t>
            </w:r>
          </w:p>
        </w:tc>
        <w:tc>
          <w:tcPr>
            <w:tcW w:w="436" w:type="dxa"/>
            <w:tcBorders>
              <w:top w:val="nil"/>
              <w:left w:val="nil"/>
              <w:bottom w:val="single" w:sz="4" w:space="0" w:color="000000"/>
              <w:right w:val="nil"/>
            </w:tcBorders>
            <w:shd w:val="clear" w:color="auto" w:fill="auto"/>
            <w:noWrap/>
            <w:vAlign w:val="bottom"/>
            <w:hideMark/>
          </w:tcPr>
          <w:p w14:paraId="26615259"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176" w:type="dxa"/>
            <w:tcBorders>
              <w:top w:val="nil"/>
              <w:left w:val="nil"/>
              <w:bottom w:val="single" w:sz="4" w:space="0" w:color="000000"/>
              <w:right w:val="nil"/>
            </w:tcBorders>
            <w:shd w:val="clear" w:color="auto" w:fill="auto"/>
            <w:noWrap/>
            <w:vAlign w:val="bottom"/>
            <w:hideMark/>
          </w:tcPr>
          <w:p w14:paraId="7EA0DE4B"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118,277</w:t>
            </w:r>
          </w:p>
        </w:tc>
        <w:tc>
          <w:tcPr>
            <w:tcW w:w="236" w:type="dxa"/>
            <w:tcBorders>
              <w:top w:val="nil"/>
              <w:left w:val="nil"/>
              <w:bottom w:val="nil"/>
              <w:right w:val="nil"/>
            </w:tcBorders>
            <w:shd w:val="clear" w:color="auto" w:fill="auto"/>
            <w:noWrap/>
            <w:vAlign w:val="bottom"/>
            <w:hideMark/>
          </w:tcPr>
          <w:p w14:paraId="7C7CEBC3"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bl>
    <w:p w14:paraId="13D9CA17" w14:textId="77777777" w:rsidR="00B1587C" w:rsidRPr="002B2821" w:rsidRDefault="00B81CB2">
      <w:pPr>
        <w:tabs>
          <w:tab w:val="left" w:pos="0"/>
          <w:tab w:val="left" w:pos="720"/>
          <w:tab w:val="decimal" w:pos="5376"/>
          <w:tab w:val="decimal" w:pos="7256"/>
          <w:tab w:val="decimal" w:pos="8667"/>
        </w:tabs>
        <w:suppressAutoHyphens/>
        <w:spacing w:after="0" w:line="240" w:lineRule="auto"/>
        <w:jc w:val="both"/>
        <w:rPr>
          <w:rFonts w:asciiTheme="minorHAnsi" w:hAnsiTheme="minorHAnsi" w:cs="Arial"/>
          <w:spacing w:val="-2"/>
          <w:kern w:val="2"/>
          <w:sz w:val="24"/>
          <w:szCs w:val="24"/>
        </w:rPr>
      </w:pPr>
      <w:r w:rsidRPr="002B2821">
        <w:rPr>
          <w:rFonts w:asciiTheme="minorHAnsi" w:hAnsiTheme="minorHAnsi" w:cs="Arial"/>
          <w:spacing w:val="-2"/>
          <w:kern w:val="2"/>
          <w:sz w:val="24"/>
          <w:szCs w:val="24"/>
        </w:rPr>
        <w:br/>
      </w:r>
      <w:r w:rsidR="00DE1A94" w:rsidRPr="002B2821">
        <w:rPr>
          <w:rFonts w:asciiTheme="minorHAnsi" w:hAnsiTheme="minorHAnsi" w:cs="Arial"/>
          <w:spacing w:val="-2"/>
          <w:kern w:val="2"/>
          <w:sz w:val="24"/>
          <w:szCs w:val="24"/>
        </w:rPr>
        <w:t xml:space="preserve">The </w:t>
      </w:r>
      <w:r w:rsidR="006C792A" w:rsidRPr="002B2821">
        <w:rPr>
          <w:rFonts w:asciiTheme="minorHAnsi" w:hAnsiTheme="minorHAnsi" w:cs="Arial"/>
          <w:spacing w:val="-2"/>
          <w:kern w:val="2"/>
          <w:sz w:val="24"/>
          <w:szCs w:val="24"/>
        </w:rPr>
        <w:t>t</w:t>
      </w:r>
      <w:r w:rsidR="00DE1A94" w:rsidRPr="002B2821">
        <w:rPr>
          <w:rFonts w:asciiTheme="minorHAnsi" w:hAnsiTheme="minorHAnsi" w:cs="Arial"/>
          <w:spacing w:val="-2"/>
          <w:kern w:val="2"/>
          <w:sz w:val="24"/>
          <w:szCs w:val="24"/>
        </w:rPr>
        <w:t xml:space="preserve">rustees believe that the carrying value of the </w:t>
      </w:r>
      <w:r w:rsidR="00DA0472" w:rsidRPr="002B2821">
        <w:rPr>
          <w:rFonts w:asciiTheme="minorHAnsi" w:hAnsiTheme="minorHAnsi" w:cs="Arial"/>
          <w:spacing w:val="-2"/>
          <w:kern w:val="2"/>
          <w:sz w:val="24"/>
          <w:szCs w:val="24"/>
        </w:rPr>
        <w:t xml:space="preserve">listed </w:t>
      </w:r>
      <w:r w:rsidR="00DE1A94" w:rsidRPr="002B2821">
        <w:rPr>
          <w:rFonts w:asciiTheme="minorHAnsi" w:hAnsiTheme="minorHAnsi" w:cs="Arial"/>
          <w:spacing w:val="-2"/>
          <w:kern w:val="2"/>
          <w:sz w:val="24"/>
          <w:szCs w:val="24"/>
        </w:rPr>
        <w:t>investments is supported by the underlying net assets.</w:t>
      </w:r>
    </w:p>
    <w:p w14:paraId="252A9ACA" w14:textId="77777777" w:rsidR="00D45B11" w:rsidRPr="002B2821" w:rsidRDefault="00D45B11">
      <w:pPr>
        <w:tabs>
          <w:tab w:val="left" w:pos="0"/>
          <w:tab w:val="left" w:pos="720"/>
          <w:tab w:val="decimal" w:pos="5376"/>
          <w:tab w:val="decimal" w:pos="7256"/>
          <w:tab w:val="decimal" w:pos="8667"/>
        </w:tabs>
        <w:suppressAutoHyphens/>
        <w:spacing w:after="0" w:line="240" w:lineRule="auto"/>
        <w:jc w:val="both"/>
        <w:rPr>
          <w:rFonts w:asciiTheme="minorHAnsi" w:hAnsiTheme="minorHAnsi" w:cs="Arial"/>
          <w:spacing w:val="-2"/>
          <w:kern w:val="2"/>
          <w:sz w:val="24"/>
          <w:szCs w:val="24"/>
        </w:rPr>
      </w:pPr>
    </w:p>
    <w:p w14:paraId="6E810754" w14:textId="77777777" w:rsidR="00D45B11" w:rsidRPr="002B2821" w:rsidRDefault="00890F38" w:rsidP="00D94BB1">
      <w:pPr>
        <w:tabs>
          <w:tab w:val="left" w:pos="0"/>
          <w:tab w:val="left" w:pos="720"/>
          <w:tab w:val="decimal" w:pos="5376"/>
          <w:tab w:val="decimal" w:pos="7256"/>
          <w:tab w:val="decimal" w:pos="8667"/>
        </w:tabs>
        <w:suppressAutoHyphens/>
        <w:spacing w:after="120" w:line="240" w:lineRule="auto"/>
        <w:jc w:val="both"/>
        <w:rPr>
          <w:rFonts w:asciiTheme="minorHAnsi" w:hAnsiTheme="minorHAnsi" w:cs="Arial"/>
          <w:spacing w:val="-2"/>
          <w:kern w:val="2"/>
          <w:sz w:val="24"/>
          <w:szCs w:val="24"/>
        </w:rPr>
      </w:pPr>
      <w:r w:rsidRPr="002B2821">
        <w:rPr>
          <w:rFonts w:asciiTheme="minorHAnsi" w:hAnsiTheme="minorHAnsi" w:cs="Arial"/>
          <w:bCs/>
          <w:color w:val="442359"/>
          <w:sz w:val="24"/>
          <w:szCs w:val="24"/>
        </w:rPr>
        <w:t>Derivatives</w:t>
      </w:r>
    </w:p>
    <w:p w14:paraId="67031A73" w14:textId="6370397F" w:rsidR="00DA0472" w:rsidRPr="002B2821" w:rsidRDefault="00890F38" w:rsidP="00E540A0">
      <w:pPr>
        <w:pStyle w:val="NormalWeb"/>
        <w:spacing w:before="0" w:beforeAutospacing="0" w:after="180" w:afterAutospacing="0"/>
        <w:rPr>
          <w:rFonts w:asciiTheme="minorHAnsi" w:hAnsiTheme="minorHAnsi"/>
        </w:rPr>
      </w:pPr>
      <w:r w:rsidRPr="002B2821">
        <w:rPr>
          <w:rFonts w:asciiTheme="minorHAnsi" w:hAnsiTheme="minorHAnsi"/>
        </w:rPr>
        <w:t>Derivatives</w:t>
      </w:r>
      <w:r w:rsidR="00DA0472" w:rsidRPr="002B2821">
        <w:rPr>
          <w:rFonts w:asciiTheme="minorHAnsi" w:hAnsiTheme="minorHAnsi"/>
        </w:rPr>
        <w:t xml:space="preserve"> are initially recognised at transaction value and subsequently measured at their settlement value</w:t>
      </w:r>
      <w:r w:rsidR="00106716">
        <w:rPr>
          <w:rFonts w:asciiTheme="minorHAnsi" w:hAnsiTheme="minorHAnsi"/>
        </w:rPr>
        <w:t>.</w:t>
      </w:r>
      <w:r w:rsidR="00DA0472" w:rsidRPr="002B2821">
        <w:rPr>
          <w:rFonts w:asciiTheme="minorHAnsi" w:hAnsiTheme="minorHAnsi"/>
        </w:rPr>
        <w:t xml:space="preserve"> </w:t>
      </w:r>
    </w:p>
    <w:p w14:paraId="7D1A8E35" w14:textId="0682068D" w:rsidR="002A579E" w:rsidRPr="002B2821" w:rsidRDefault="002A579E" w:rsidP="00E540A0">
      <w:pPr>
        <w:pStyle w:val="NormalWeb"/>
        <w:spacing w:before="0" w:beforeAutospacing="0" w:after="0" w:afterAutospacing="0"/>
        <w:rPr>
          <w:rFonts w:asciiTheme="minorHAnsi" w:hAnsiTheme="minorHAnsi"/>
        </w:rPr>
      </w:pPr>
      <w:r w:rsidRPr="002B2821">
        <w:rPr>
          <w:rFonts w:asciiTheme="minorHAnsi" w:hAnsiTheme="minorHAnsi"/>
        </w:rPr>
        <w:t xml:space="preserve">The following table shows </w:t>
      </w:r>
      <w:r w:rsidR="00890F38" w:rsidRPr="002B2821">
        <w:rPr>
          <w:rFonts w:asciiTheme="minorHAnsi" w:hAnsiTheme="minorHAnsi"/>
        </w:rPr>
        <w:t>derivatives</w:t>
      </w:r>
      <w:r w:rsidRPr="002B2821">
        <w:rPr>
          <w:rFonts w:asciiTheme="minorHAnsi" w:hAnsiTheme="minorHAnsi"/>
        </w:rPr>
        <w:t xml:space="preserve"> </w:t>
      </w:r>
      <w:r w:rsidR="00AE7FF2">
        <w:rPr>
          <w:rFonts w:asciiTheme="minorHAnsi" w:hAnsiTheme="minorHAnsi"/>
        </w:rPr>
        <w:t xml:space="preserve">in </w:t>
      </w:r>
      <w:r w:rsidRPr="002B2821">
        <w:rPr>
          <w:rFonts w:asciiTheme="minorHAnsi" w:hAnsiTheme="minorHAnsi"/>
        </w:rPr>
        <w:t>relation to investments.</w:t>
      </w:r>
    </w:p>
    <w:p w14:paraId="441EB827" w14:textId="77777777" w:rsidR="00C07CD4" w:rsidRPr="002B2821" w:rsidRDefault="00123C6F" w:rsidP="00E540A0">
      <w:pPr>
        <w:pStyle w:val="NormalWeb"/>
        <w:spacing w:before="0" w:beforeAutospacing="0" w:after="0" w:afterAutospacing="0"/>
        <w:rPr>
          <w:rFonts w:asciiTheme="minorHAnsi" w:hAnsiTheme="minorHAnsi"/>
        </w:rPr>
      </w:pPr>
      <w:r w:rsidRPr="002B2821">
        <w:rPr>
          <w:rFonts w:asciiTheme="minorHAnsi" w:hAnsiTheme="minorHAnsi"/>
        </w:rPr>
        <w:t xml:space="preserve"> </w:t>
      </w:r>
    </w:p>
    <w:tbl>
      <w:tblPr>
        <w:tblW w:w="7648" w:type="dxa"/>
        <w:tblLook w:val="04A0" w:firstRow="1" w:lastRow="0" w:firstColumn="1" w:lastColumn="0" w:noHBand="0" w:noVBand="1"/>
      </w:tblPr>
      <w:tblGrid>
        <w:gridCol w:w="1376"/>
        <w:gridCol w:w="1885"/>
        <w:gridCol w:w="587"/>
        <w:gridCol w:w="716"/>
        <w:gridCol w:w="1236"/>
        <w:gridCol w:w="436"/>
        <w:gridCol w:w="1176"/>
        <w:gridCol w:w="236"/>
      </w:tblGrid>
      <w:tr w:rsidR="00C07CD4" w:rsidRPr="002B2821" w14:paraId="7E43E67F" w14:textId="77777777" w:rsidTr="00C07CD4">
        <w:trPr>
          <w:trHeight w:val="255"/>
        </w:trPr>
        <w:tc>
          <w:tcPr>
            <w:tcW w:w="1376" w:type="dxa"/>
            <w:tcBorders>
              <w:top w:val="nil"/>
              <w:left w:val="nil"/>
              <w:bottom w:val="nil"/>
              <w:right w:val="nil"/>
            </w:tcBorders>
            <w:shd w:val="clear" w:color="auto" w:fill="auto"/>
            <w:noWrap/>
            <w:vAlign w:val="bottom"/>
            <w:hideMark/>
          </w:tcPr>
          <w:p w14:paraId="698B7B9E" w14:textId="77777777" w:rsidR="00C07CD4" w:rsidRPr="002B2821" w:rsidRDefault="00C07CD4" w:rsidP="00C07CD4">
            <w:pPr>
              <w:spacing w:after="0" w:line="240" w:lineRule="auto"/>
              <w:rPr>
                <w:sz w:val="24"/>
                <w:szCs w:val="24"/>
                <w:lang w:eastAsia="en-GB"/>
              </w:rPr>
            </w:pPr>
          </w:p>
        </w:tc>
        <w:tc>
          <w:tcPr>
            <w:tcW w:w="1885" w:type="dxa"/>
            <w:tcBorders>
              <w:top w:val="nil"/>
              <w:left w:val="nil"/>
              <w:bottom w:val="nil"/>
              <w:right w:val="nil"/>
            </w:tcBorders>
            <w:shd w:val="clear" w:color="auto" w:fill="auto"/>
            <w:noWrap/>
            <w:vAlign w:val="bottom"/>
            <w:hideMark/>
          </w:tcPr>
          <w:p w14:paraId="2712593B" w14:textId="77777777" w:rsidR="00C07CD4" w:rsidRPr="002B2821" w:rsidRDefault="00C07CD4" w:rsidP="00C07CD4">
            <w:pPr>
              <w:spacing w:after="0" w:line="240" w:lineRule="auto"/>
              <w:rPr>
                <w:lang w:eastAsia="en-GB"/>
              </w:rPr>
            </w:pPr>
          </w:p>
        </w:tc>
        <w:tc>
          <w:tcPr>
            <w:tcW w:w="587" w:type="dxa"/>
            <w:tcBorders>
              <w:top w:val="nil"/>
              <w:left w:val="nil"/>
              <w:bottom w:val="nil"/>
              <w:right w:val="nil"/>
            </w:tcBorders>
            <w:shd w:val="clear" w:color="auto" w:fill="auto"/>
            <w:noWrap/>
            <w:vAlign w:val="bottom"/>
            <w:hideMark/>
          </w:tcPr>
          <w:p w14:paraId="05F5F771"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482256B5"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6865417B" w14:textId="77777777" w:rsidR="00C07CD4" w:rsidRPr="002B2821" w:rsidRDefault="00C07CD4" w:rsidP="005808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2018</w:t>
            </w:r>
          </w:p>
        </w:tc>
        <w:tc>
          <w:tcPr>
            <w:tcW w:w="436" w:type="dxa"/>
            <w:tcBorders>
              <w:top w:val="nil"/>
              <w:left w:val="nil"/>
              <w:bottom w:val="nil"/>
              <w:right w:val="nil"/>
            </w:tcBorders>
            <w:shd w:val="clear" w:color="auto" w:fill="auto"/>
            <w:noWrap/>
            <w:vAlign w:val="bottom"/>
            <w:hideMark/>
          </w:tcPr>
          <w:p w14:paraId="0F8E02D3"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560F04C9"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2017</w:t>
            </w:r>
          </w:p>
        </w:tc>
        <w:tc>
          <w:tcPr>
            <w:tcW w:w="236" w:type="dxa"/>
            <w:tcBorders>
              <w:top w:val="nil"/>
              <w:left w:val="nil"/>
              <w:bottom w:val="nil"/>
              <w:right w:val="nil"/>
            </w:tcBorders>
            <w:shd w:val="clear" w:color="auto" w:fill="auto"/>
            <w:noWrap/>
            <w:vAlign w:val="bottom"/>
            <w:hideMark/>
          </w:tcPr>
          <w:p w14:paraId="19376C56"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41AC873E" w14:textId="77777777" w:rsidTr="00C07CD4">
        <w:trPr>
          <w:trHeight w:val="255"/>
        </w:trPr>
        <w:tc>
          <w:tcPr>
            <w:tcW w:w="1376" w:type="dxa"/>
            <w:tcBorders>
              <w:top w:val="nil"/>
              <w:left w:val="nil"/>
              <w:bottom w:val="nil"/>
              <w:right w:val="nil"/>
            </w:tcBorders>
            <w:shd w:val="clear" w:color="auto" w:fill="auto"/>
            <w:noWrap/>
            <w:vAlign w:val="bottom"/>
            <w:hideMark/>
          </w:tcPr>
          <w:p w14:paraId="0DEE8C61" w14:textId="77777777" w:rsidR="00C07CD4" w:rsidRPr="002B2821" w:rsidRDefault="00C07CD4" w:rsidP="00C07CD4">
            <w:pPr>
              <w:spacing w:after="0" w:line="240" w:lineRule="auto"/>
              <w:rPr>
                <w:lang w:eastAsia="en-GB"/>
              </w:rPr>
            </w:pPr>
          </w:p>
        </w:tc>
        <w:tc>
          <w:tcPr>
            <w:tcW w:w="1885" w:type="dxa"/>
            <w:tcBorders>
              <w:top w:val="nil"/>
              <w:left w:val="nil"/>
              <w:bottom w:val="nil"/>
              <w:right w:val="nil"/>
            </w:tcBorders>
            <w:shd w:val="clear" w:color="auto" w:fill="auto"/>
            <w:noWrap/>
            <w:vAlign w:val="bottom"/>
            <w:hideMark/>
          </w:tcPr>
          <w:p w14:paraId="138C0AA1" w14:textId="77777777" w:rsidR="00C07CD4" w:rsidRPr="002B2821" w:rsidRDefault="00C07CD4" w:rsidP="00C07CD4">
            <w:pPr>
              <w:spacing w:after="0" w:line="240" w:lineRule="auto"/>
              <w:rPr>
                <w:lang w:eastAsia="en-GB"/>
              </w:rPr>
            </w:pPr>
          </w:p>
        </w:tc>
        <w:tc>
          <w:tcPr>
            <w:tcW w:w="587" w:type="dxa"/>
            <w:tcBorders>
              <w:top w:val="nil"/>
              <w:left w:val="nil"/>
              <w:bottom w:val="nil"/>
              <w:right w:val="nil"/>
            </w:tcBorders>
            <w:shd w:val="clear" w:color="auto" w:fill="auto"/>
            <w:noWrap/>
            <w:vAlign w:val="bottom"/>
            <w:hideMark/>
          </w:tcPr>
          <w:p w14:paraId="7E808E76"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24E64C1D"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3202C921" w14:textId="77777777" w:rsidR="00C07CD4" w:rsidRPr="002B2821" w:rsidRDefault="00C07CD4" w:rsidP="005808D4">
            <w:pPr>
              <w:spacing w:after="0" w:line="240" w:lineRule="auto"/>
              <w:jc w:val="right"/>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36" w:type="dxa"/>
            <w:tcBorders>
              <w:top w:val="nil"/>
              <w:left w:val="nil"/>
              <w:bottom w:val="nil"/>
              <w:right w:val="nil"/>
            </w:tcBorders>
            <w:shd w:val="clear" w:color="auto" w:fill="auto"/>
            <w:noWrap/>
            <w:vAlign w:val="bottom"/>
            <w:hideMark/>
          </w:tcPr>
          <w:p w14:paraId="2FEAD39A" w14:textId="77777777" w:rsidR="00C07CD4" w:rsidRPr="002B2821" w:rsidRDefault="00C07CD4" w:rsidP="00C07CD4">
            <w:pPr>
              <w:spacing w:after="0" w:line="240" w:lineRule="auto"/>
              <w:jc w:val="right"/>
              <w:rPr>
                <w:rFonts w:ascii="Calibri" w:hAnsi="Calibri" w:cs="Arial"/>
                <w:b/>
                <w:bCs/>
                <w:color w:val="333399"/>
                <w:sz w:val="24"/>
                <w:szCs w:val="24"/>
                <w:lang w:eastAsia="en-GB"/>
              </w:rPr>
            </w:pPr>
          </w:p>
        </w:tc>
        <w:tc>
          <w:tcPr>
            <w:tcW w:w="1176" w:type="dxa"/>
            <w:tcBorders>
              <w:top w:val="nil"/>
              <w:left w:val="nil"/>
              <w:bottom w:val="nil"/>
              <w:right w:val="nil"/>
            </w:tcBorders>
            <w:shd w:val="clear" w:color="auto" w:fill="auto"/>
            <w:noWrap/>
            <w:vAlign w:val="bottom"/>
            <w:hideMark/>
          </w:tcPr>
          <w:p w14:paraId="5EC481E7" w14:textId="77777777" w:rsidR="00C07CD4" w:rsidRPr="002B2821" w:rsidRDefault="00C07CD4" w:rsidP="00C07CD4">
            <w:pPr>
              <w:spacing w:after="0" w:line="240" w:lineRule="auto"/>
              <w:jc w:val="right"/>
              <w:rPr>
                <w:rFonts w:ascii="Calibri" w:hAnsi="Calibri" w:cs="Arial"/>
                <w:color w:val="333399"/>
                <w:sz w:val="24"/>
                <w:szCs w:val="24"/>
                <w:lang w:eastAsia="en-GB"/>
              </w:rPr>
            </w:pPr>
            <w:r w:rsidRPr="002B2821">
              <w:rPr>
                <w:rFonts w:ascii="Calibri" w:hAnsi="Calibri" w:cs="Arial"/>
                <w:color w:val="333399"/>
                <w:sz w:val="24"/>
                <w:szCs w:val="24"/>
                <w:lang w:eastAsia="en-GB"/>
              </w:rPr>
              <w:t>£000s</w:t>
            </w:r>
          </w:p>
        </w:tc>
        <w:tc>
          <w:tcPr>
            <w:tcW w:w="236" w:type="dxa"/>
            <w:tcBorders>
              <w:top w:val="nil"/>
              <w:left w:val="nil"/>
              <w:bottom w:val="nil"/>
              <w:right w:val="nil"/>
            </w:tcBorders>
            <w:shd w:val="clear" w:color="auto" w:fill="auto"/>
            <w:noWrap/>
            <w:vAlign w:val="bottom"/>
            <w:hideMark/>
          </w:tcPr>
          <w:p w14:paraId="33B85548" w14:textId="77777777" w:rsidR="00C07CD4" w:rsidRPr="002B2821" w:rsidRDefault="00C07CD4" w:rsidP="00C07CD4">
            <w:pPr>
              <w:spacing w:after="0" w:line="240" w:lineRule="auto"/>
              <w:jc w:val="right"/>
              <w:rPr>
                <w:rFonts w:ascii="Calibri" w:hAnsi="Calibri" w:cs="Arial"/>
                <w:color w:val="333399"/>
                <w:sz w:val="24"/>
                <w:szCs w:val="24"/>
                <w:lang w:eastAsia="en-GB"/>
              </w:rPr>
            </w:pPr>
          </w:p>
        </w:tc>
      </w:tr>
      <w:tr w:rsidR="00C07CD4" w:rsidRPr="002B2821" w14:paraId="0D92ED37" w14:textId="77777777" w:rsidTr="00C07CD4">
        <w:trPr>
          <w:trHeight w:val="255"/>
        </w:trPr>
        <w:tc>
          <w:tcPr>
            <w:tcW w:w="1376" w:type="dxa"/>
            <w:tcBorders>
              <w:top w:val="nil"/>
              <w:left w:val="nil"/>
              <w:bottom w:val="nil"/>
              <w:right w:val="nil"/>
            </w:tcBorders>
            <w:shd w:val="clear" w:color="auto" w:fill="auto"/>
            <w:noWrap/>
            <w:vAlign w:val="bottom"/>
            <w:hideMark/>
          </w:tcPr>
          <w:p w14:paraId="12CD386F" w14:textId="77777777" w:rsidR="00C07CD4" w:rsidRPr="002B2821" w:rsidRDefault="00C07CD4" w:rsidP="00C07CD4">
            <w:pPr>
              <w:spacing w:after="0" w:line="240" w:lineRule="auto"/>
              <w:rPr>
                <w:lang w:eastAsia="en-GB"/>
              </w:rPr>
            </w:pPr>
          </w:p>
        </w:tc>
        <w:tc>
          <w:tcPr>
            <w:tcW w:w="1885" w:type="dxa"/>
            <w:tcBorders>
              <w:top w:val="nil"/>
              <w:left w:val="nil"/>
              <w:bottom w:val="nil"/>
              <w:right w:val="nil"/>
            </w:tcBorders>
            <w:shd w:val="clear" w:color="auto" w:fill="auto"/>
            <w:noWrap/>
            <w:vAlign w:val="bottom"/>
            <w:hideMark/>
          </w:tcPr>
          <w:p w14:paraId="65FAA4CE" w14:textId="77777777" w:rsidR="00C07CD4" w:rsidRPr="002B2821" w:rsidRDefault="00C07CD4" w:rsidP="00C07CD4">
            <w:pPr>
              <w:spacing w:after="0" w:line="240" w:lineRule="auto"/>
              <w:rPr>
                <w:lang w:eastAsia="en-GB"/>
              </w:rPr>
            </w:pPr>
          </w:p>
        </w:tc>
        <w:tc>
          <w:tcPr>
            <w:tcW w:w="587" w:type="dxa"/>
            <w:tcBorders>
              <w:top w:val="nil"/>
              <w:left w:val="nil"/>
              <w:bottom w:val="nil"/>
              <w:right w:val="nil"/>
            </w:tcBorders>
            <w:shd w:val="clear" w:color="auto" w:fill="auto"/>
            <w:noWrap/>
            <w:vAlign w:val="bottom"/>
            <w:hideMark/>
          </w:tcPr>
          <w:p w14:paraId="5B9172AA"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75E8B8F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7C0C3045" w14:textId="77777777" w:rsidR="00C07CD4" w:rsidRPr="002B2821" w:rsidRDefault="00C07CD4" w:rsidP="000E7AE0">
            <w:pPr>
              <w:spacing w:after="0" w:line="240" w:lineRule="auto"/>
              <w:jc w:val="right"/>
              <w:rPr>
                <w:lang w:eastAsia="en-GB"/>
              </w:rPr>
            </w:pPr>
          </w:p>
        </w:tc>
        <w:tc>
          <w:tcPr>
            <w:tcW w:w="436" w:type="dxa"/>
            <w:tcBorders>
              <w:top w:val="nil"/>
              <w:left w:val="nil"/>
              <w:bottom w:val="nil"/>
              <w:right w:val="nil"/>
            </w:tcBorders>
            <w:shd w:val="clear" w:color="auto" w:fill="auto"/>
            <w:noWrap/>
            <w:vAlign w:val="bottom"/>
            <w:hideMark/>
          </w:tcPr>
          <w:p w14:paraId="7AA4B9C7" w14:textId="77777777" w:rsidR="00C07CD4" w:rsidRPr="002B2821" w:rsidRDefault="00C07CD4" w:rsidP="00C07CD4">
            <w:pPr>
              <w:spacing w:after="0" w:line="240" w:lineRule="auto"/>
              <w:rPr>
                <w:lang w:eastAsia="en-GB"/>
              </w:rPr>
            </w:pPr>
          </w:p>
        </w:tc>
        <w:tc>
          <w:tcPr>
            <w:tcW w:w="1176" w:type="dxa"/>
            <w:tcBorders>
              <w:top w:val="nil"/>
              <w:left w:val="nil"/>
              <w:bottom w:val="nil"/>
              <w:right w:val="nil"/>
            </w:tcBorders>
            <w:shd w:val="clear" w:color="auto" w:fill="auto"/>
            <w:noWrap/>
            <w:vAlign w:val="bottom"/>
            <w:hideMark/>
          </w:tcPr>
          <w:p w14:paraId="1C780B18"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444E5EAD" w14:textId="77777777" w:rsidR="00C07CD4" w:rsidRPr="002B2821" w:rsidRDefault="00C07CD4" w:rsidP="00C07CD4">
            <w:pPr>
              <w:spacing w:after="0" w:line="240" w:lineRule="auto"/>
              <w:rPr>
                <w:lang w:eastAsia="en-GB"/>
              </w:rPr>
            </w:pPr>
          </w:p>
        </w:tc>
      </w:tr>
      <w:tr w:rsidR="00C07CD4" w:rsidRPr="002B2821" w14:paraId="27649619" w14:textId="77777777" w:rsidTr="00C07CD4">
        <w:trPr>
          <w:trHeight w:val="255"/>
        </w:trPr>
        <w:tc>
          <w:tcPr>
            <w:tcW w:w="3261" w:type="dxa"/>
            <w:gridSpan w:val="2"/>
            <w:tcBorders>
              <w:top w:val="nil"/>
              <w:left w:val="nil"/>
              <w:bottom w:val="nil"/>
              <w:right w:val="nil"/>
            </w:tcBorders>
            <w:shd w:val="clear" w:color="auto" w:fill="auto"/>
            <w:noWrap/>
            <w:vAlign w:val="center"/>
            <w:hideMark/>
          </w:tcPr>
          <w:p w14:paraId="58A30CB4"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Cash offset index futures</w:t>
            </w:r>
          </w:p>
        </w:tc>
        <w:tc>
          <w:tcPr>
            <w:tcW w:w="587" w:type="dxa"/>
            <w:tcBorders>
              <w:top w:val="nil"/>
              <w:left w:val="nil"/>
              <w:bottom w:val="nil"/>
              <w:right w:val="nil"/>
            </w:tcBorders>
            <w:shd w:val="clear" w:color="auto" w:fill="auto"/>
            <w:noWrap/>
            <w:vAlign w:val="bottom"/>
            <w:hideMark/>
          </w:tcPr>
          <w:p w14:paraId="022B384D"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4F1B8C75"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center"/>
            <w:hideMark/>
          </w:tcPr>
          <w:p w14:paraId="6EE83DF8" w14:textId="77777777" w:rsidR="00C07CD4" w:rsidRPr="002B2821" w:rsidRDefault="00C07CD4"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(339)</w:t>
            </w:r>
          </w:p>
        </w:tc>
        <w:tc>
          <w:tcPr>
            <w:tcW w:w="436" w:type="dxa"/>
            <w:tcBorders>
              <w:top w:val="nil"/>
              <w:left w:val="nil"/>
              <w:bottom w:val="nil"/>
              <w:right w:val="nil"/>
            </w:tcBorders>
            <w:shd w:val="clear" w:color="auto" w:fill="auto"/>
            <w:noWrap/>
            <w:vAlign w:val="bottom"/>
            <w:hideMark/>
          </w:tcPr>
          <w:p w14:paraId="5E9E3F4A"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77EEDECF"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(1,045)</w:t>
            </w:r>
          </w:p>
        </w:tc>
        <w:tc>
          <w:tcPr>
            <w:tcW w:w="236" w:type="dxa"/>
            <w:tcBorders>
              <w:top w:val="nil"/>
              <w:left w:val="nil"/>
              <w:bottom w:val="nil"/>
              <w:right w:val="nil"/>
            </w:tcBorders>
            <w:shd w:val="clear" w:color="auto" w:fill="auto"/>
            <w:noWrap/>
            <w:vAlign w:val="bottom"/>
            <w:hideMark/>
          </w:tcPr>
          <w:p w14:paraId="21E69EBE"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436F141C" w14:textId="77777777" w:rsidTr="00C07CD4">
        <w:trPr>
          <w:trHeight w:val="255"/>
        </w:trPr>
        <w:tc>
          <w:tcPr>
            <w:tcW w:w="3848" w:type="dxa"/>
            <w:gridSpan w:val="3"/>
            <w:tcBorders>
              <w:top w:val="nil"/>
              <w:left w:val="nil"/>
              <w:bottom w:val="nil"/>
              <w:right w:val="nil"/>
            </w:tcBorders>
            <w:shd w:val="clear" w:color="auto" w:fill="auto"/>
            <w:noWrap/>
            <w:vAlign w:val="center"/>
            <w:hideMark/>
          </w:tcPr>
          <w:p w14:paraId="51967180"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Open currency forward agreements</w:t>
            </w:r>
          </w:p>
        </w:tc>
        <w:tc>
          <w:tcPr>
            <w:tcW w:w="716" w:type="dxa"/>
            <w:tcBorders>
              <w:top w:val="nil"/>
              <w:left w:val="nil"/>
              <w:bottom w:val="nil"/>
              <w:right w:val="nil"/>
            </w:tcBorders>
            <w:shd w:val="clear" w:color="auto" w:fill="auto"/>
            <w:noWrap/>
            <w:vAlign w:val="bottom"/>
            <w:hideMark/>
          </w:tcPr>
          <w:p w14:paraId="138D28F9"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nil"/>
              <w:left w:val="nil"/>
              <w:bottom w:val="nil"/>
              <w:right w:val="nil"/>
            </w:tcBorders>
            <w:shd w:val="clear" w:color="auto" w:fill="auto"/>
            <w:noWrap/>
            <w:vAlign w:val="center"/>
            <w:hideMark/>
          </w:tcPr>
          <w:p w14:paraId="29699A65" w14:textId="77777777" w:rsidR="00C07CD4" w:rsidRPr="002B2821" w:rsidRDefault="00C07CD4"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(30)</w:t>
            </w:r>
          </w:p>
        </w:tc>
        <w:tc>
          <w:tcPr>
            <w:tcW w:w="436" w:type="dxa"/>
            <w:tcBorders>
              <w:top w:val="nil"/>
              <w:left w:val="nil"/>
              <w:bottom w:val="nil"/>
              <w:right w:val="nil"/>
            </w:tcBorders>
            <w:shd w:val="clear" w:color="auto" w:fill="auto"/>
            <w:noWrap/>
            <w:vAlign w:val="bottom"/>
            <w:hideMark/>
          </w:tcPr>
          <w:p w14:paraId="5354E889"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7B69B36C"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80 </w:t>
            </w:r>
          </w:p>
        </w:tc>
        <w:tc>
          <w:tcPr>
            <w:tcW w:w="236" w:type="dxa"/>
            <w:tcBorders>
              <w:top w:val="nil"/>
              <w:left w:val="nil"/>
              <w:bottom w:val="nil"/>
              <w:right w:val="nil"/>
            </w:tcBorders>
            <w:shd w:val="clear" w:color="auto" w:fill="auto"/>
            <w:noWrap/>
            <w:vAlign w:val="bottom"/>
            <w:hideMark/>
          </w:tcPr>
          <w:p w14:paraId="21152667"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02AC99EE" w14:textId="77777777" w:rsidTr="00C07CD4">
        <w:trPr>
          <w:trHeight w:val="255"/>
        </w:trPr>
        <w:tc>
          <w:tcPr>
            <w:tcW w:w="3261" w:type="dxa"/>
            <w:gridSpan w:val="2"/>
            <w:tcBorders>
              <w:top w:val="nil"/>
              <w:left w:val="nil"/>
              <w:bottom w:val="nil"/>
              <w:right w:val="nil"/>
            </w:tcBorders>
            <w:shd w:val="clear" w:color="auto" w:fill="auto"/>
            <w:noWrap/>
            <w:vAlign w:val="center"/>
            <w:hideMark/>
          </w:tcPr>
          <w:p w14:paraId="7D484B0B"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Equities Futures</w:t>
            </w:r>
          </w:p>
        </w:tc>
        <w:tc>
          <w:tcPr>
            <w:tcW w:w="587" w:type="dxa"/>
            <w:tcBorders>
              <w:top w:val="nil"/>
              <w:left w:val="nil"/>
              <w:bottom w:val="nil"/>
              <w:right w:val="nil"/>
            </w:tcBorders>
            <w:shd w:val="clear" w:color="auto" w:fill="auto"/>
            <w:noWrap/>
            <w:vAlign w:val="center"/>
            <w:hideMark/>
          </w:tcPr>
          <w:p w14:paraId="5973E310"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4DDABAFF"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center"/>
            <w:hideMark/>
          </w:tcPr>
          <w:p w14:paraId="5B44AED6" w14:textId="77777777" w:rsidR="00C07CD4" w:rsidRPr="002B2821" w:rsidRDefault="00C07CD4"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 xml:space="preserve">368 </w:t>
            </w:r>
          </w:p>
        </w:tc>
        <w:tc>
          <w:tcPr>
            <w:tcW w:w="436" w:type="dxa"/>
            <w:tcBorders>
              <w:top w:val="nil"/>
              <w:left w:val="nil"/>
              <w:bottom w:val="nil"/>
              <w:right w:val="nil"/>
            </w:tcBorders>
            <w:shd w:val="clear" w:color="auto" w:fill="auto"/>
            <w:noWrap/>
            <w:vAlign w:val="bottom"/>
            <w:hideMark/>
          </w:tcPr>
          <w:p w14:paraId="74F43EA7"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5914709F" w14:textId="3B6FAA0C" w:rsidR="00C07CD4" w:rsidRPr="002B2821" w:rsidRDefault="00AE7FF2" w:rsidP="00106716">
            <w:pPr>
              <w:spacing w:after="0" w:line="240" w:lineRule="auto"/>
              <w:jc w:val="right"/>
              <w:rPr>
                <w:lang w:eastAsia="en-GB"/>
              </w:rPr>
            </w:pPr>
            <w:r>
              <w:rPr>
                <w:lang w:eastAsia="en-GB"/>
              </w:rPr>
              <w:t>-</w:t>
            </w:r>
          </w:p>
        </w:tc>
        <w:tc>
          <w:tcPr>
            <w:tcW w:w="236" w:type="dxa"/>
            <w:tcBorders>
              <w:top w:val="nil"/>
              <w:left w:val="nil"/>
              <w:bottom w:val="nil"/>
              <w:right w:val="nil"/>
            </w:tcBorders>
            <w:shd w:val="clear" w:color="auto" w:fill="auto"/>
            <w:noWrap/>
            <w:vAlign w:val="bottom"/>
            <w:hideMark/>
          </w:tcPr>
          <w:p w14:paraId="00316998" w14:textId="77777777" w:rsidR="00C07CD4" w:rsidRPr="002B2821" w:rsidRDefault="00C07CD4" w:rsidP="00C07CD4">
            <w:pPr>
              <w:spacing w:after="0" w:line="240" w:lineRule="auto"/>
              <w:jc w:val="right"/>
              <w:rPr>
                <w:lang w:eastAsia="en-GB"/>
              </w:rPr>
            </w:pPr>
          </w:p>
        </w:tc>
      </w:tr>
      <w:tr w:rsidR="00C07CD4" w:rsidRPr="002B2821" w14:paraId="72D6B5C1" w14:textId="77777777" w:rsidTr="00C07CD4">
        <w:trPr>
          <w:trHeight w:val="255"/>
        </w:trPr>
        <w:tc>
          <w:tcPr>
            <w:tcW w:w="3848" w:type="dxa"/>
            <w:gridSpan w:val="3"/>
            <w:tcBorders>
              <w:top w:val="nil"/>
              <w:left w:val="nil"/>
              <w:bottom w:val="nil"/>
              <w:right w:val="nil"/>
            </w:tcBorders>
            <w:shd w:val="clear" w:color="auto" w:fill="auto"/>
            <w:noWrap/>
            <w:vAlign w:val="center"/>
            <w:hideMark/>
          </w:tcPr>
          <w:p w14:paraId="6C0B6DDE"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Open Derivatives Positions</w:t>
            </w:r>
          </w:p>
        </w:tc>
        <w:tc>
          <w:tcPr>
            <w:tcW w:w="716" w:type="dxa"/>
            <w:tcBorders>
              <w:top w:val="nil"/>
              <w:left w:val="nil"/>
              <w:bottom w:val="nil"/>
              <w:right w:val="nil"/>
            </w:tcBorders>
            <w:shd w:val="clear" w:color="auto" w:fill="auto"/>
            <w:noWrap/>
            <w:vAlign w:val="bottom"/>
            <w:hideMark/>
          </w:tcPr>
          <w:p w14:paraId="0D82DD68" w14:textId="77777777" w:rsidR="00C07CD4" w:rsidRPr="002B2821" w:rsidRDefault="00C07CD4" w:rsidP="00C07CD4">
            <w:pPr>
              <w:spacing w:after="0" w:line="240" w:lineRule="auto"/>
              <w:rPr>
                <w:rFonts w:ascii="Calibri" w:hAnsi="Calibri" w:cs="Arial"/>
                <w:color w:val="000000"/>
                <w:sz w:val="24"/>
                <w:szCs w:val="24"/>
                <w:lang w:eastAsia="en-GB"/>
              </w:rPr>
            </w:pPr>
          </w:p>
        </w:tc>
        <w:tc>
          <w:tcPr>
            <w:tcW w:w="1236" w:type="dxa"/>
            <w:tcBorders>
              <w:top w:val="single" w:sz="4" w:space="0" w:color="auto"/>
              <w:left w:val="nil"/>
              <w:bottom w:val="nil"/>
              <w:right w:val="nil"/>
            </w:tcBorders>
            <w:shd w:val="clear" w:color="auto" w:fill="auto"/>
            <w:noWrap/>
            <w:vAlign w:val="center"/>
            <w:hideMark/>
          </w:tcPr>
          <w:p w14:paraId="707486B7" w14:textId="77777777" w:rsidR="00C07CD4" w:rsidRPr="002B2821" w:rsidRDefault="00C07CD4"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w:t>
            </w:r>
          </w:p>
        </w:tc>
        <w:tc>
          <w:tcPr>
            <w:tcW w:w="436" w:type="dxa"/>
            <w:tcBorders>
              <w:top w:val="single" w:sz="4" w:space="0" w:color="auto"/>
              <w:left w:val="nil"/>
              <w:bottom w:val="nil"/>
              <w:right w:val="nil"/>
            </w:tcBorders>
            <w:shd w:val="clear" w:color="auto" w:fill="auto"/>
            <w:noWrap/>
            <w:vAlign w:val="center"/>
            <w:hideMark/>
          </w:tcPr>
          <w:p w14:paraId="41611391"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1176" w:type="dxa"/>
            <w:tcBorders>
              <w:top w:val="single" w:sz="4" w:space="0" w:color="auto"/>
              <w:left w:val="nil"/>
              <w:bottom w:val="nil"/>
              <w:right w:val="nil"/>
            </w:tcBorders>
            <w:shd w:val="clear" w:color="auto" w:fill="auto"/>
            <w:noWrap/>
            <w:vAlign w:val="center"/>
            <w:hideMark/>
          </w:tcPr>
          <w:p w14:paraId="44386988"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(965)</w:t>
            </w:r>
          </w:p>
        </w:tc>
        <w:tc>
          <w:tcPr>
            <w:tcW w:w="236" w:type="dxa"/>
            <w:tcBorders>
              <w:top w:val="nil"/>
              <w:left w:val="nil"/>
              <w:bottom w:val="nil"/>
              <w:right w:val="nil"/>
            </w:tcBorders>
            <w:shd w:val="clear" w:color="auto" w:fill="auto"/>
            <w:noWrap/>
            <w:vAlign w:val="bottom"/>
            <w:hideMark/>
          </w:tcPr>
          <w:p w14:paraId="433567AA"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6F26FD48" w14:textId="77777777" w:rsidTr="00C07CD4">
        <w:trPr>
          <w:trHeight w:val="255"/>
        </w:trPr>
        <w:tc>
          <w:tcPr>
            <w:tcW w:w="1376" w:type="dxa"/>
            <w:tcBorders>
              <w:top w:val="nil"/>
              <w:left w:val="nil"/>
              <w:bottom w:val="nil"/>
              <w:right w:val="nil"/>
            </w:tcBorders>
            <w:shd w:val="clear" w:color="auto" w:fill="auto"/>
            <w:noWrap/>
            <w:vAlign w:val="bottom"/>
            <w:hideMark/>
          </w:tcPr>
          <w:p w14:paraId="32079484" w14:textId="77777777" w:rsidR="00C07CD4" w:rsidRPr="002B2821" w:rsidRDefault="00C07CD4" w:rsidP="00C07CD4">
            <w:pPr>
              <w:spacing w:after="0" w:line="240" w:lineRule="auto"/>
              <w:rPr>
                <w:lang w:eastAsia="en-GB"/>
              </w:rPr>
            </w:pPr>
          </w:p>
        </w:tc>
        <w:tc>
          <w:tcPr>
            <w:tcW w:w="1885" w:type="dxa"/>
            <w:tcBorders>
              <w:top w:val="nil"/>
              <w:left w:val="nil"/>
              <w:bottom w:val="nil"/>
              <w:right w:val="nil"/>
            </w:tcBorders>
            <w:shd w:val="clear" w:color="auto" w:fill="auto"/>
            <w:noWrap/>
            <w:vAlign w:val="bottom"/>
            <w:hideMark/>
          </w:tcPr>
          <w:p w14:paraId="67D958E7" w14:textId="77777777" w:rsidR="00C07CD4" w:rsidRPr="002B2821" w:rsidRDefault="00C07CD4" w:rsidP="00C07CD4">
            <w:pPr>
              <w:spacing w:after="0" w:line="240" w:lineRule="auto"/>
              <w:rPr>
                <w:lang w:eastAsia="en-GB"/>
              </w:rPr>
            </w:pPr>
          </w:p>
        </w:tc>
        <w:tc>
          <w:tcPr>
            <w:tcW w:w="587" w:type="dxa"/>
            <w:tcBorders>
              <w:top w:val="nil"/>
              <w:left w:val="nil"/>
              <w:bottom w:val="nil"/>
              <w:right w:val="nil"/>
            </w:tcBorders>
            <w:shd w:val="clear" w:color="auto" w:fill="auto"/>
            <w:noWrap/>
            <w:vAlign w:val="bottom"/>
            <w:hideMark/>
          </w:tcPr>
          <w:p w14:paraId="183484AA"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31D23311" w14:textId="77777777" w:rsidR="00C07CD4" w:rsidRPr="002B2821" w:rsidRDefault="00C07CD4" w:rsidP="00C07CD4">
            <w:pPr>
              <w:spacing w:after="0" w:line="240" w:lineRule="auto"/>
              <w:rPr>
                <w:lang w:eastAsia="en-GB"/>
              </w:rPr>
            </w:pPr>
          </w:p>
        </w:tc>
        <w:tc>
          <w:tcPr>
            <w:tcW w:w="1236" w:type="dxa"/>
            <w:tcBorders>
              <w:top w:val="single" w:sz="4" w:space="0" w:color="auto"/>
              <w:left w:val="nil"/>
              <w:bottom w:val="nil"/>
              <w:right w:val="nil"/>
            </w:tcBorders>
            <w:shd w:val="clear" w:color="auto" w:fill="auto"/>
            <w:noWrap/>
            <w:vAlign w:val="bottom"/>
            <w:hideMark/>
          </w:tcPr>
          <w:p w14:paraId="67FDEDB0" w14:textId="77777777" w:rsidR="00C07CD4" w:rsidRPr="002B2821" w:rsidRDefault="00C07CD4" w:rsidP="000E7AE0">
            <w:pPr>
              <w:spacing w:after="0" w:line="240" w:lineRule="auto"/>
              <w:jc w:val="right"/>
              <w:rPr>
                <w:color w:val="000000"/>
                <w:lang w:eastAsia="en-GB"/>
              </w:rPr>
            </w:pPr>
            <w:r w:rsidRPr="002B2821">
              <w:rPr>
                <w:color w:val="000000"/>
                <w:lang w:eastAsia="en-GB"/>
              </w:rPr>
              <w:t> </w:t>
            </w:r>
          </w:p>
        </w:tc>
        <w:tc>
          <w:tcPr>
            <w:tcW w:w="436" w:type="dxa"/>
            <w:tcBorders>
              <w:top w:val="single" w:sz="4" w:space="0" w:color="auto"/>
              <w:left w:val="nil"/>
              <w:bottom w:val="nil"/>
              <w:right w:val="nil"/>
            </w:tcBorders>
            <w:shd w:val="clear" w:color="auto" w:fill="auto"/>
            <w:noWrap/>
            <w:vAlign w:val="bottom"/>
            <w:hideMark/>
          </w:tcPr>
          <w:p w14:paraId="139462F7" w14:textId="77777777" w:rsidR="00C07CD4" w:rsidRPr="002B2821" w:rsidRDefault="00C07CD4" w:rsidP="00C07CD4">
            <w:pPr>
              <w:spacing w:after="0" w:line="240" w:lineRule="auto"/>
              <w:rPr>
                <w:color w:val="000000"/>
                <w:lang w:eastAsia="en-GB"/>
              </w:rPr>
            </w:pPr>
            <w:r w:rsidRPr="002B2821">
              <w:rPr>
                <w:color w:val="000000"/>
                <w:lang w:eastAsia="en-GB"/>
              </w:rPr>
              <w:t> </w:t>
            </w:r>
          </w:p>
        </w:tc>
        <w:tc>
          <w:tcPr>
            <w:tcW w:w="1176" w:type="dxa"/>
            <w:tcBorders>
              <w:top w:val="single" w:sz="4" w:space="0" w:color="auto"/>
              <w:left w:val="nil"/>
              <w:bottom w:val="nil"/>
              <w:right w:val="nil"/>
            </w:tcBorders>
            <w:shd w:val="clear" w:color="auto" w:fill="auto"/>
            <w:noWrap/>
            <w:vAlign w:val="bottom"/>
            <w:hideMark/>
          </w:tcPr>
          <w:p w14:paraId="3EA55208" w14:textId="77777777" w:rsidR="00C07CD4" w:rsidRPr="002B2821" w:rsidRDefault="00C07CD4" w:rsidP="00C07CD4">
            <w:pPr>
              <w:spacing w:after="0" w:line="240" w:lineRule="auto"/>
              <w:rPr>
                <w:color w:val="000000"/>
                <w:lang w:eastAsia="en-GB"/>
              </w:rPr>
            </w:pPr>
            <w:r w:rsidRPr="002B2821">
              <w:rPr>
                <w:color w:val="000000"/>
                <w:lang w:eastAsia="en-GB"/>
              </w:rPr>
              <w:t> </w:t>
            </w:r>
          </w:p>
        </w:tc>
        <w:tc>
          <w:tcPr>
            <w:tcW w:w="236" w:type="dxa"/>
            <w:tcBorders>
              <w:top w:val="nil"/>
              <w:left w:val="nil"/>
              <w:bottom w:val="nil"/>
              <w:right w:val="nil"/>
            </w:tcBorders>
            <w:shd w:val="clear" w:color="auto" w:fill="auto"/>
            <w:noWrap/>
            <w:vAlign w:val="bottom"/>
            <w:hideMark/>
          </w:tcPr>
          <w:p w14:paraId="6748CE80" w14:textId="77777777" w:rsidR="00C07CD4" w:rsidRPr="002B2821" w:rsidRDefault="00C07CD4" w:rsidP="00C07CD4">
            <w:pPr>
              <w:spacing w:after="0" w:line="240" w:lineRule="auto"/>
              <w:rPr>
                <w:color w:val="000000"/>
                <w:lang w:eastAsia="en-GB"/>
              </w:rPr>
            </w:pPr>
          </w:p>
        </w:tc>
      </w:tr>
      <w:tr w:rsidR="00C07CD4" w:rsidRPr="002B2821" w14:paraId="3F487BCC" w14:textId="77777777" w:rsidTr="00C07CD4">
        <w:trPr>
          <w:trHeight w:val="255"/>
        </w:trPr>
        <w:tc>
          <w:tcPr>
            <w:tcW w:w="3261" w:type="dxa"/>
            <w:gridSpan w:val="2"/>
            <w:tcBorders>
              <w:top w:val="nil"/>
              <w:left w:val="nil"/>
              <w:bottom w:val="nil"/>
              <w:right w:val="nil"/>
            </w:tcBorders>
            <w:shd w:val="clear" w:color="auto" w:fill="auto"/>
            <w:noWrap/>
            <w:vAlign w:val="center"/>
            <w:hideMark/>
          </w:tcPr>
          <w:p w14:paraId="45CFABDE"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Futures held as part of</w:t>
            </w:r>
          </w:p>
        </w:tc>
        <w:tc>
          <w:tcPr>
            <w:tcW w:w="587" w:type="dxa"/>
            <w:tcBorders>
              <w:top w:val="nil"/>
              <w:left w:val="nil"/>
              <w:bottom w:val="nil"/>
              <w:right w:val="nil"/>
            </w:tcBorders>
            <w:shd w:val="clear" w:color="auto" w:fill="auto"/>
            <w:noWrap/>
            <w:vAlign w:val="bottom"/>
            <w:hideMark/>
          </w:tcPr>
          <w:p w14:paraId="4B012F1A"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0778CEEB"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bottom"/>
            <w:hideMark/>
          </w:tcPr>
          <w:p w14:paraId="40A6B203" w14:textId="77777777" w:rsidR="00C07CD4" w:rsidRPr="002B2821" w:rsidRDefault="00C07CD4" w:rsidP="000E7AE0">
            <w:pPr>
              <w:spacing w:after="0" w:line="240" w:lineRule="auto"/>
              <w:jc w:val="right"/>
              <w:rPr>
                <w:lang w:eastAsia="en-GB"/>
              </w:rPr>
            </w:pPr>
          </w:p>
        </w:tc>
        <w:tc>
          <w:tcPr>
            <w:tcW w:w="436" w:type="dxa"/>
            <w:tcBorders>
              <w:top w:val="nil"/>
              <w:left w:val="nil"/>
              <w:bottom w:val="nil"/>
              <w:right w:val="nil"/>
            </w:tcBorders>
            <w:shd w:val="clear" w:color="auto" w:fill="auto"/>
            <w:noWrap/>
            <w:vAlign w:val="bottom"/>
            <w:hideMark/>
          </w:tcPr>
          <w:p w14:paraId="5607F01C" w14:textId="77777777" w:rsidR="00C07CD4" w:rsidRPr="002B2821" w:rsidRDefault="00C07CD4" w:rsidP="00C07CD4">
            <w:pPr>
              <w:spacing w:after="0" w:line="240" w:lineRule="auto"/>
              <w:rPr>
                <w:lang w:eastAsia="en-GB"/>
              </w:rPr>
            </w:pPr>
          </w:p>
        </w:tc>
        <w:tc>
          <w:tcPr>
            <w:tcW w:w="1176" w:type="dxa"/>
            <w:tcBorders>
              <w:top w:val="nil"/>
              <w:left w:val="nil"/>
              <w:bottom w:val="nil"/>
              <w:right w:val="nil"/>
            </w:tcBorders>
            <w:shd w:val="clear" w:color="auto" w:fill="auto"/>
            <w:noWrap/>
            <w:vAlign w:val="bottom"/>
            <w:hideMark/>
          </w:tcPr>
          <w:p w14:paraId="099345E8" w14:textId="77777777" w:rsidR="00C07CD4" w:rsidRPr="002B2821" w:rsidRDefault="00C07CD4" w:rsidP="00C07CD4">
            <w:pPr>
              <w:spacing w:after="0" w:line="240" w:lineRule="auto"/>
              <w:rPr>
                <w:lang w:eastAsia="en-GB"/>
              </w:rPr>
            </w:pPr>
          </w:p>
        </w:tc>
        <w:tc>
          <w:tcPr>
            <w:tcW w:w="236" w:type="dxa"/>
            <w:tcBorders>
              <w:top w:val="nil"/>
              <w:left w:val="nil"/>
              <w:bottom w:val="nil"/>
              <w:right w:val="nil"/>
            </w:tcBorders>
            <w:shd w:val="clear" w:color="auto" w:fill="auto"/>
            <w:noWrap/>
            <w:vAlign w:val="bottom"/>
            <w:hideMark/>
          </w:tcPr>
          <w:p w14:paraId="71ED7FB0" w14:textId="77777777" w:rsidR="00C07CD4" w:rsidRPr="002B2821" w:rsidRDefault="00C07CD4" w:rsidP="00C07CD4">
            <w:pPr>
              <w:spacing w:after="0" w:line="240" w:lineRule="auto"/>
              <w:rPr>
                <w:lang w:eastAsia="en-GB"/>
              </w:rPr>
            </w:pPr>
          </w:p>
        </w:tc>
      </w:tr>
      <w:tr w:rsidR="00C07CD4" w:rsidRPr="002B2821" w14:paraId="2732472D" w14:textId="77777777" w:rsidTr="00C07CD4">
        <w:trPr>
          <w:trHeight w:val="255"/>
        </w:trPr>
        <w:tc>
          <w:tcPr>
            <w:tcW w:w="1376" w:type="dxa"/>
            <w:tcBorders>
              <w:top w:val="nil"/>
              <w:left w:val="nil"/>
              <w:bottom w:val="nil"/>
              <w:right w:val="nil"/>
            </w:tcBorders>
            <w:shd w:val="clear" w:color="auto" w:fill="auto"/>
            <w:noWrap/>
            <w:vAlign w:val="center"/>
            <w:hideMark/>
          </w:tcPr>
          <w:p w14:paraId="617005F0"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UK Equities</w:t>
            </w:r>
          </w:p>
        </w:tc>
        <w:tc>
          <w:tcPr>
            <w:tcW w:w="1885" w:type="dxa"/>
            <w:tcBorders>
              <w:top w:val="nil"/>
              <w:left w:val="nil"/>
              <w:bottom w:val="nil"/>
              <w:right w:val="nil"/>
            </w:tcBorders>
            <w:shd w:val="clear" w:color="auto" w:fill="auto"/>
            <w:noWrap/>
            <w:vAlign w:val="bottom"/>
            <w:hideMark/>
          </w:tcPr>
          <w:p w14:paraId="21A0B7AF" w14:textId="77777777" w:rsidR="00C07CD4" w:rsidRPr="002B2821" w:rsidRDefault="00C07CD4" w:rsidP="00C07CD4">
            <w:pPr>
              <w:spacing w:after="0" w:line="240" w:lineRule="auto"/>
              <w:rPr>
                <w:rFonts w:ascii="Calibri" w:hAnsi="Calibri" w:cs="Arial"/>
                <w:color w:val="000000"/>
                <w:sz w:val="24"/>
                <w:szCs w:val="24"/>
                <w:lang w:eastAsia="en-GB"/>
              </w:rPr>
            </w:pPr>
          </w:p>
        </w:tc>
        <w:tc>
          <w:tcPr>
            <w:tcW w:w="587" w:type="dxa"/>
            <w:tcBorders>
              <w:top w:val="nil"/>
              <w:left w:val="nil"/>
              <w:bottom w:val="nil"/>
              <w:right w:val="nil"/>
            </w:tcBorders>
            <w:shd w:val="clear" w:color="auto" w:fill="auto"/>
            <w:noWrap/>
            <w:vAlign w:val="bottom"/>
            <w:hideMark/>
          </w:tcPr>
          <w:p w14:paraId="2DB389D8" w14:textId="77777777" w:rsidR="00C07CD4" w:rsidRPr="002B2821" w:rsidRDefault="00C07CD4" w:rsidP="00C07CD4">
            <w:pPr>
              <w:spacing w:after="0" w:line="240" w:lineRule="auto"/>
              <w:rPr>
                <w:lang w:eastAsia="en-GB"/>
              </w:rPr>
            </w:pPr>
          </w:p>
        </w:tc>
        <w:tc>
          <w:tcPr>
            <w:tcW w:w="716" w:type="dxa"/>
            <w:tcBorders>
              <w:top w:val="nil"/>
              <w:left w:val="nil"/>
              <w:bottom w:val="nil"/>
              <w:right w:val="nil"/>
            </w:tcBorders>
            <w:shd w:val="clear" w:color="auto" w:fill="auto"/>
            <w:noWrap/>
            <w:vAlign w:val="bottom"/>
            <w:hideMark/>
          </w:tcPr>
          <w:p w14:paraId="5BBBF211"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center"/>
            <w:hideMark/>
          </w:tcPr>
          <w:p w14:paraId="544264C5" w14:textId="39481F48" w:rsidR="00C07CD4" w:rsidRPr="002B2821" w:rsidRDefault="00967F30"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C07CD4" w:rsidRPr="002B2821">
              <w:rPr>
                <w:rFonts w:ascii="Calibri" w:hAnsi="Calibri" w:cs="Arial"/>
                <w:b/>
                <w:bCs/>
                <w:color w:val="000000"/>
                <w:sz w:val="24"/>
                <w:szCs w:val="24"/>
                <w:lang w:eastAsia="en-GB"/>
              </w:rPr>
              <w:t xml:space="preserve"> </w:t>
            </w:r>
          </w:p>
        </w:tc>
        <w:tc>
          <w:tcPr>
            <w:tcW w:w="436" w:type="dxa"/>
            <w:tcBorders>
              <w:top w:val="nil"/>
              <w:left w:val="nil"/>
              <w:bottom w:val="nil"/>
              <w:right w:val="nil"/>
            </w:tcBorders>
            <w:shd w:val="clear" w:color="auto" w:fill="auto"/>
            <w:noWrap/>
            <w:vAlign w:val="bottom"/>
            <w:hideMark/>
          </w:tcPr>
          <w:p w14:paraId="1220B74E"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0C24E7BB"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733 </w:t>
            </w:r>
          </w:p>
        </w:tc>
        <w:tc>
          <w:tcPr>
            <w:tcW w:w="236" w:type="dxa"/>
            <w:tcBorders>
              <w:top w:val="nil"/>
              <w:left w:val="nil"/>
              <w:bottom w:val="nil"/>
              <w:right w:val="nil"/>
            </w:tcBorders>
            <w:shd w:val="clear" w:color="auto" w:fill="auto"/>
            <w:noWrap/>
            <w:vAlign w:val="bottom"/>
            <w:hideMark/>
          </w:tcPr>
          <w:p w14:paraId="7EDAB3D7"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C07CD4" w:rsidRPr="002B2821" w14:paraId="5D161E0E" w14:textId="77777777" w:rsidTr="00C07CD4">
        <w:trPr>
          <w:trHeight w:val="255"/>
        </w:trPr>
        <w:tc>
          <w:tcPr>
            <w:tcW w:w="3261" w:type="dxa"/>
            <w:gridSpan w:val="2"/>
            <w:tcBorders>
              <w:top w:val="nil"/>
              <w:left w:val="nil"/>
              <w:bottom w:val="nil"/>
              <w:right w:val="nil"/>
            </w:tcBorders>
            <w:shd w:val="clear" w:color="auto" w:fill="auto"/>
            <w:noWrap/>
            <w:vAlign w:val="center"/>
            <w:hideMark/>
          </w:tcPr>
          <w:p w14:paraId="464EC0E2" w14:textId="77777777" w:rsidR="00C07CD4" w:rsidRPr="002B2821" w:rsidRDefault="00C07CD4"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Overseas Unit Trusts</w:t>
            </w:r>
          </w:p>
        </w:tc>
        <w:tc>
          <w:tcPr>
            <w:tcW w:w="587" w:type="dxa"/>
            <w:tcBorders>
              <w:top w:val="nil"/>
              <w:left w:val="nil"/>
              <w:bottom w:val="nil"/>
              <w:right w:val="nil"/>
            </w:tcBorders>
            <w:shd w:val="clear" w:color="auto" w:fill="auto"/>
            <w:noWrap/>
            <w:vAlign w:val="bottom"/>
            <w:hideMark/>
          </w:tcPr>
          <w:p w14:paraId="564A8115" w14:textId="77777777" w:rsidR="00C07CD4" w:rsidRPr="002B2821" w:rsidRDefault="00C07CD4"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hideMark/>
          </w:tcPr>
          <w:p w14:paraId="0346DA73" w14:textId="77777777" w:rsidR="00C07CD4" w:rsidRPr="002B2821" w:rsidRDefault="00C07CD4" w:rsidP="00C07CD4">
            <w:pPr>
              <w:spacing w:after="0" w:line="240" w:lineRule="auto"/>
              <w:rPr>
                <w:lang w:eastAsia="en-GB"/>
              </w:rPr>
            </w:pPr>
          </w:p>
        </w:tc>
        <w:tc>
          <w:tcPr>
            <w:tcW w:w="1236" w:type="dxa"/>
            <w:tcBorders>
              <w:top w:val="nil"/>
              <w:left w:val="nil"/>
              <w:bottom w:val="nil"/>
              <w:right w:val="nil"/>
            </w:tcBorders>
            <w:shd w:val="clear" w:color="auto" w:fill="auto"/>
            <w:noWrap/>
            <w:vAlign w:val="center"/>
            <w:hideMark/>
          </w:tcPr>
          <w:p w14:paraId="50371CC2" w14:textId="4C0352E4" w:rsidR="00C07CD4" w:rsidRPr="002B2821" w:rsidRDefault="00967F30"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w:t>
            </w:r>
            <w:r w:rsidR="00C07CD4" w:rsidRPr="002B2821">
              <w:rPr>
                <w:rFonts w:ascii="Calibri" w:hAnsi="Calibri" w:cs="Arial"/>
                <w:b/>
                <w:bCs/>
                <w:color w:val="000000"/>
                <w:sz w:val="24"/>
                <w:szCs w:val="24"/>
                <w:lang w:eastAsia="en-GB"/>
              </w:rPr>
              <w:t xml:space="preserve"> </w:t>
            </w:r>
          </w:p>
        </w:tc>
        <w:tc>
          <w:tcPr>
            <w:tcW w:w="436" w:type="dxa"/>
            <w:tcBorders>
              <w:top w:val="nil"/>
              <w:left w:val="nil"/>
              <w:bottom w:val="nil"/>
              <w:right w:val="nil"/>
            </w:tcBorders>
            <w:shd w:val="clear" w:color="auto" w:fill="auto"/>
            <w:noWrap/>
            <w:vAlign w:val="bottom"/>
            <w:hideMark/>
          </w:tcPr>
          <w:p w14:paraId="6D57140B" w14:textId="77777777" w:rsidR="00C07CD4" w:rsidRPr="002B2821" w:rsidRDefault="00C07CD4"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nil"/>
              <w:right w:val="nil"/>
            </w:tcBorders>
            <w:shd w:val="clear" w:color="auto" w:fill="auto"/>
            <w:noWrap/>
            <w:vAlign w:val="center"/>
            <w:hideMark/>
          </w:tcPr>
          <w:p w14:paraId="40A8EB79" w14:textId="77777777" w:rsidR="00C07CD4" w:rsidRPr="002B2821" w:rsidRDefault="00C07CD4"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333 </w:t>
            </w:r>
          </w:p>
        </w:tc>
        <w:tc>
          <w:tcPr>
            <w:tcW w:w="236" w:type="dxa"/>
            <w:tcBorders>
              <w:top w:val="nil"/>
              <w:left w:val="nil"/>
              <w:bottom w:val="nil"/>
              <w:right w:val="nil"/>
            </w:tcBorders>
            <w:shd w:val="clear" w:color="auto" w:fill="auto"/>
            <w:noWrap/>
            <w:vAlign w:val="bottom"/>
            <w:hideMark/>
          </w:tcPr>
          <w:p w14:paraId="2B5E5601" w14:textId="77777777" w:rsidR="00C07CD4" w:rsidRPr="002B2821" w:rsidRDefault="00C07CD4" w:rsidP="00C07CD4">
            <w:pPr>
              <w:spacing w:after="0" w:line="240" w:lineRule="auto"/>
              <w:jc w:val="right"/>
              <w:rPr>
                <w:rFonts w:ascii="Calibri" w:hAnsi="Calibri" w:cs="Arial"/>
                <w:color w:val="000000"/>
                <w:sz w:val="24"/>
                <w:szCs w:val="24"/>
                <w:lang w:eastAsia="en-GB"/>
              </w:rPr>
            </w:pPr>
          </w:p>
        </w:tc>
      </w:tr>
      <w:tr w:rsidR="006A7367" w:rsidRPr="002B2821" w14:paraId="484C7041" w14:textId="77777777" w:rsidTr="006A7367">
        <w:trPr>
          <w:trHeight w:val="255"/>
        </w:trPr>
        <w:tc>
          <w:tcPr>
            <w:tcW w:w="3261" w:type="dxa"/>
            <w:gridSpan w:val="2"/>
            <w:tcBorders>
              <w:top w:val="nil"/>
              <w:left w:val="nil"/>
              <w:bottom w:val="nil"/>
              <w:right w:val="nil"/>
            </w:tcBorders>
            <w:shd w:val="clear" w:color="auto" w:fill="auto"/>
            <w:noWrap/>
            <w:vAlign w:val="center"/>
          </w:tcPr>
          <w:p w14:paraId="3D7EA2E0" w14:textId="77777777" w:rsidR="006A7367" w:rsidRPr="002B2821" w:rsidRDefault="006A7367" w:rsidP="00C07CD4">
            <w:pPr>
              <w:spacing w:after="0" w:line="240" w:lineRule="auto"/>
              <w:rPr>
                <w:rFonts w:ascii="Calibri" w:hAnsi="Calibri" w:cs="Arial"/>
                <w:color w:val="000000"/>
                <w:sz w:val="24"/>
                <w:szCs w:val="24"/>
                <w:lang w:eastAsia="en-GB"/>
              </w:rPr>
            </w:pPr>
          </w:p>
        </w:tc>
        <w:tc>
          <w:tcPr>
            <w:tcW w:w="587" w:type="dxa"/>
            <w:tcBorders>
              <w:top w:val="nil"/>
              <w:left w:val="nil"/>
              <w:bottom w:val="nil"/>
              <w:right w:val="nil"/>
            </w:tcBorders>
            <w:shd w:val="clear" w:color="auto" w:fill="auto"/>
            <w:noWrap/>
            <w:vAlign w:val="bottom"/>
          </w:tcPr>
          <w:p w14:paraId="3E3B41EB" w14:textId="77777777" w:rsidR="006A7367" w:rsidRPr="002B2821" w:rsidRDefault="006A7367"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tcPr>
          <w:p w14:paraId="025CA659" w14:textId="77777777" w:rsidR="006A7367" w:rsidRPr="002B2821" w:rsidRDefault="006A7367" w:rsidP="00C07CD4">
            <w:pPr>
              <w:spacing w:after="0" w:line="240" w:lineRule="auto"/>
              <w:rPr>
                <w:lang w:eastAsia="en-GB"/>
              </w:rPr>
            </w:pPr>
          </w:p>
        </w:tc>
        <w:tc>
          <w:tcPr>
            <w:tcW w:w="1236" w:type="dxa"/>
            <w:tcBorders>
              <w:top w:val="nil"/>
              <w:left w:val="nil"/>
              <w:bottom w:val="single" w:sz="4" w:space="0" w:color="auto"/>
              <w:right w:val="nil"/>
            </w:tcBorders>
            <w:shd w:val="clear" w:color="auto" w:fill="auto"/>
            <w:noWrap/>
            <w:vAlign w:val="center"/>
          </w:tcPr>
          <w:p w14:paraId="37664CDE" w14:textId="77777777" w:rsidR="006A7367" w:rsidRPr="002B2821" w:rsidRDefault="006A7367" w:rsidP="005808D4">
            <w:pPr>
              <w:spacing w:after="0" w:line="240" w:lineRule="auto"/>
              <w:jc w:val="right"/>
              <w:rPr>
                <w:rFonts w:ascii="Calibri" w:hAnsi="Calibri" w:cs="Arial"/>
                <w:b/>
                <w:bCs/>
                <w:color w:val="000000"/>
                <w:sz w:val="24"/>
                <w:szCs w:val="24"/>
                <w:lang w:eastAsia="en-GB"/>
              </w:rPr>
            </w:pPr>
          </w:p>
        </w:tc>
        <w:tc>
          <w:tcPr>
            <w:tcW w:w="436" w:type="dxa"/>
            <w:tcBorders>
              <w:top w:val="nil"/>
              <w:left w:val="nil"/>
              <w:bottom w:val="single" w:sz="4" w:space="0" w:color="auto"/>
              <w:right w:val="nil"/>
            </w:tcBorders>
            <w:shd w:val="clear" w:color="auto" w:fill="auto"/>
            <w:noWrap/>
            <w:vAlign w:val="bottom"/>
          </w:tcPr>
          <w:p w14:paraId="6A9FC4C1" w14:textId="77777777" w:rsidR="006A7367" w:rsidRPr="002B2821" w:rsidRDefault="006A7367" w:rsidP="00C07CD4">
            <w:pPr>
              <w:spacing w:after="0" w:line="240" w:lineRule="auto"/>
              <w:jc w:val="right"/>
              <w:rPr>
                <w:rFonts w:ascii="Calibri" w:hAnsi="Calibri" w:cs="Arial"/>
                <w:b/>
                <w:bCs/>
                <w:color w:val="000000"/>
                <w:sz w:val="24"/>
                <w:szCs w:val="24"/>
                <w:lang w:eastAsia="en-GB"/>
              </w:rPr>
            </w:pPr>
          </w:p>
        </w:tc>
        <w:tc>
          <w:tcPr>
            <w:tcW w:w="1176" w:type="dxa"/>
            <w:tcBorders>
              <w:top w:val="nil"/>
              <w:left w:val="nil"/>
              <w:bottom w:val="single" w:sz="4" w:space="0" w:color="auto"/>
              <w:right w:val="nil"/>
            </w:tcBorders>
            <w:shd w:val="clear" w:color="auto" w:fill="auto"/>
            <w:noWrap/>
            <w:vAlign w:val="center"/>
          </w:tcPr>
          <w:p w14:paraId="0E4C045F" w14:textId="77777777" w:rsidR="006A7367" w:rsidRPr="002B2821" w:rsidRDefault="006A7367" w:rsidP="00C07CD4">
            <w:pPr>
              <w:spacing w:after="0" w:line="240" w:lineRule="auto"/>
              <w:jc w:val="right"/>
              <w:rPr>
                <w:rFonts w:ascii="Calibri" w:hAnsi="Calibri" w:cs="Arial"/>
                <w:color w:val="000000"/>
                <w:sz w:val="24"/>
                <w:szCs w:val="24"/>
                <w:lang w:eastAsia="en-GB"/>
              </w:rPr>
            </w:pPr>
          </w:p>
        </w:tc>
        <w:tc>
          <w:tcPr>
            <w:tcW w:w="236" w:type="dxa"/>
            <w:tcBorders>
              <w:top w:val="nil"/>
              <w:left w:val="nil"/>
              <w:bottom w:val="nil"/>
              <w:right w:val="nil"/>
            </w:tcBorders>
            <w:shd w:val="clear" w:color="auto" w:fill="auto"/>
            <w:noWrap/>
            <w:vAlign w:val="bottom"/>
          </w:tcPr>
          <w:p w14:paraId="15506557" w14:textId="77777777" w:rsidR="006A7367" w:rsidRPr="002B2821" w:rsidRDefault="006A7367" w:rsidP="00C07CD4">
            <w:pPr>
              <w:spacing w:after="0" w:line="240" w:lineRule="auto"/>
              <w:jc w:val="right"/>
              <w:rPr>
                <w:rFonts w:ascii="Calibri" w:hAnsi="Calibri" w:cs="Arial"/>
                <w:color w:val="000000"/>
                <w:sz w:val="24"/>
                <w:szCs w:val="24"/>
                <w:lang w:eastAsia="en-GB"/>
              </w:rPr>
            </w:pPr>
          </w:p>
        </w:tc>
      </w:tr>
      <w:tr w:rsidR="006A7367" w:rsidRPr="002B2821" w14:paraId="69CA472A" w14:textId="77777777" w:rsidTr="006A7367">
        <w:trPr>
          <w:trHeight w:val="255"/>
        </w:trPr>
        <w:tc>
          <w:tcPr>
            <w:tcW w:w="3261" w:type="dxa"/>
            <w:gridSpan w:val="2"/>
            <w:tcBorders>
              <w:top w:val="nil"/>
              <w:left w:val="nil"/>
              <w:bottom w:val="nil"/>
              <w:right w:val="nil"/>
            </w:tcBorders>
            <w:shd w:val="clear" w:color="auto" w:fill="auto"/>
            <w:noWrap/>
            <w:vAlign w:val="center"/>
          </w:tcPr>
          <w:p w14:paraId="641729A8" w14:textId="1019181D" w:rsidR="006A7367" w:rsidRPr="002B2821" w:rsidRDefault="006A7367" w:rsidP="00C07CD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Total</w:t>
            </w:r>
          </w:p>
        </w:tc>
        <w:tc>
          <w:tcPr>
            <w:tcW w:w="587" w:type="dxa"/>
            <w:tcBorders>
              <w:top w:val="nil"/>
              <w:left w:val="nil"/>
              <w:bottom w:val="nil"/>
              <w:right w:val="nil"/>
            </w:tcBorders>
            <w:shd w:val="clear" w:color="auto" w:fill="auto"/>
            <w:noWrap/>
            <w:vAlign w:val="bottom"/>
          </w:tcPr>
          <w:p w14:paraId="67A606EB" w14:textId="77777777" w:rsidR="006A7367" w:rsidRPr="002B2821" w:rsidRDefault="006A7367" w:rsidP="00C07CD4">
            <w:pPr>
              <w:spacing w:after="0" w:line="240" w:lineRule="auto"/>
              <w:rPr>
                <w:rFonts w:ascii="Calibri" w:hAnsi="Calibri" w:cs="Arial"/>
                <w:color w:val="000000"/>
                <w:sz w:val="24"/>
                <w:szCs w:val="24"/>
                <w:lang w:eastAsia="en-GB"/>
              </w:rPr>
            </w:pPr>
          </w:p>
        </w:tc>
        <w:tc>
          <w:tcPr>
            <w:tcW w:w="716" w:type="dxa"/>
            <w:tcBorders>
              <w:top w:val="nil"/>
              <w:left w:val="nil"/>
              <w:bottom w:val="nil"/>
              <w:right w:val="nil"/>
            </w:tcBorders>
            <w:shd w:val="clear" w:color="auto" w:fill="auto"/>
            <w:noWrap/>
            <w:vAlign w:val="bottom"/>
          </w:tcPr>
          <w:p w14:paraId="67644CFF" w14:textId="77777777" w:rsidR="006A7367" w:rsidRPr="002B2821" w:rsidRDefault="006A7367" w:rsidP="00C07CD4">
            <w:pPr>
              <w:spacing w:after="0" w:line="240" w:lineRule="auto"/>
              <w:rPr>
                <w:lang w:eastAsia="en-GB"/>
              </w:rPr>
            </w:pPr>
          </w:p>
        </w:tc>
        <w:tc>
          <w:tcPr>
            <w:tcW w:w="1236" w:type="dxa"/>
            <w:tcBorders>
              <w:top w:val="single" w:sz="4" w:space="0" w:color="auto"/>
              <w:left w:val="nil"/>
              <w:bottom w:val="single" w:sz="4" w:space="0" w:color="auto"/>
              <w:right w:val="nil"/>
            </w:tcBorders>
            <w:shd w:val="clear" w:color="auto" w:fill="auto"/>
            <w:noWrap/>
            <w:vAlign w:val="center"/>
          </w:tcPr>
          <w:p w14:paraId="0DEAB47F" w14:textId="2DBEBBB2" w:rsidR="006A7367" w:rsidRPr="002B2821" w:rsidRDefault="006A7367" w:rsidP="005808D4">
            <w:pPr>
              <w:spacing w:after="0" w:line="240" w:lineRule="auto"/>
              <w:jc w:val="right"/>
              <w:rPr>
                <w:rFonts w:ascii="Calibri" w:hAnsi="Calibri" w:cs="Arial"/>
                <w:b/>
                <w:bCs/>
                <w:color w:val="000000"/>
                <w:sz w:val="24"/>
                <w:szCs w:val="24"/>
                <w:lang w:eastAsia="en-GB"/>
              </w:rPr>
            </w:pPr>
            <w:r w:rsidRPr="002B2821">
              <w:rPr>
                <w:rFonts w:ascii="Calibri" w:hAnsi="Calibri" w:cs="Arial"/>
                <w:b/>
                <w:bCs/>
                <w:color w:val="000000"/>
                <w:sz w:val="24"/>
                <w:szCs w:val="24"/>
                <w:lang w:eastAsia="en-GB"/>
              </w:rPr>
              <w:t>(1)</w:t>
            </w:r>
          </w:p>
        </w:tc>
        <w:tc>
          <w:tcPr>
            <w:tcW w:w="436" w:type="dxa"/>
            <w:tcBorders>
              <w:top w:val="single" w:sz="4" w:space="0" w:color="auto"/>
              <w:left w:val="nil"/>
              <w:bottom w:val="single" w:sz="4" w:space="0" w:color="auto"/>
              <w:right w:val="nil"/>
            </w:tcBorders>
            <w:shd w:val="clear" w:color="auto" w:fill="auto"/>
            <w:noWrap/>
            <w:vAlign w:val="bottom"/>
          </w:tcPr>
          <w:p w14:paraId="001B2829" w14:textId="77777777" w:rsidR="006A7367" w:rsidRPr="002B2821" w:rsidRDefault="006A7367" w:rsidP="00C07CD4">
            <w:pPr>
              <w:spacing w:after="0" w:line="240" w:lineRule="auto"/>
              <w:jc w:val="right"/>
              <w:rPr>
                <w:rFonts w:ascii="Calibri" w:hAnsi="Calibri" w:cs="Arial"/>
                <w:b/>
                <w:bCs/>
                <w:color w:val="000000"/>
                <w:sz w:val="24"/>
                <w:szCs w:val="24"/>
                <w:lang w:eastAsia="en-GB"/>
              </w:rPr>
            </w:pPr>
          </w:p>
        </w:tc>
        <w:tc>
          <w:tcPr>
            <w:tcW w:w="1176" w:type="dxa"/>
            <w:tcBorders>
              <w:top w:val="single" w:sz="4" w:space="0" w:color="auto"/>
              <w:left w:val="nil"/>
              <w:bottom w:val="single" w:sz="4" w:space="0" w:color="auto"/>
              <w:right w:val="nil"/>
            </w:tcBorders>
            <w:shd w:val="clear" w:color="auto" w:fill="auto"/>
            <w:noWrap/>
            <w:vAlign w:val="center"/>
          </w:tcPr>
          <w:p w14:paraId="2CE04CF7" w14:textId="0933671F" w:rsidR="006A7367" w:rsidRPr="002B2821" w:rsidRDefault="006A7367" w:rsidP="00C07CD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101</w:t>
            </w:r>
          </w:p>
        </w:tc>
        <w:tc>
          <w:tcPr>
            <w:tcW w:w="236" w:type="dxa"/>
            <w:tcBorders>
              <w:top w:val="nil"/>
              <w:left w:val="nil"/>
              <w:bottom w:val="nil"/>
              <w:right w:val="nil"/>
            </w:tcBorders>
            <w:shd w:val="clear" w:color="auto" w:fill="auto"/>
            <w:noWrap/>
            <w:vAlign w:val="bottom"/>
          </w:tcPr>
          <w:p w14:paraId="33F56FAE" w14:textId="77777777" w:rsidR="006A7367" w:rsidRPr="002B2821" w:rsidRDefault="006A7367" w:rsidP="00C07CD4">
            <w:pPr>
              <w:spacing w:after="0" w:line="240" w:lineRule="auto"/>
              <w:jc w:val="right"/>
              <w:rPr>
                <w:rFonts w:ascii="Calibri" w:hAnsi="Calibri" w:cs="Arial"/>
                <w:color w:val="000000"/>
                <w:sz w:val="24"/>
                <w:szCs w:val="24"/>
                <w:lang w:eastAsia="en-GB"/>
              </w:rPr>
            </w:pPr>
          </w:p>
        </w:tc>
      </w:tr>
    </w:tbl>
    <w:p w14:paraId="561FE40C" w14:textId="77777777" w:rsidR="004453C4" w:rsidRPr="002B2821" w:rsidRDefault="004453C4" w:rsidP="00D45B11">
      <w:pPr>
        <w:pStyle w:val="BodyText"/>
        <w:spacing w:after="0" w:line="240" w:lineRule="auto"/>
        <w:rPr>
          <w:rFonts w:asciiTheme="minorHAnsi" w:hAnsiTheme="minorHAnsi" w:cs="Arial"/>
          <w:b/>
          <w:color w:val="442359"/>
          <w:sz w:val="24"/>
          <w:szCs w:val="24"/>
        </w:rPr>
      </w:pPr>
    </w:p>
    <w:p w14:paraId="3E065396" w14:textId="77777777" w:rsidR="00531E34" w:rsidRDefault="00531E34" w:rsidP="00D45B11">
      <w:pPr>
        <w:pStyle w:val="BodyText"/>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207C824B" w14:textId="52EBE03D" w:rsidR="00D45B11" w:rsidRPr="002B2821" w:rsidRDefault="00D45B11" w:rsidP="00D45B11">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C07CD4"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4664D36E" w14:textId="77777777" w:rsidR="004E3103" w:rsidRPr="002B2821" w:rsidRDefault="004E3103" w:rsidP="00D45B11">
      <w:pPr>
        <w:pStyle w:val="BodyText"/>
        <w:spacing w:after="0" w:line="240" w:lineRule="auto"/>
        <w:rPr>
          <w:rFonts w:asciiTheme="minorHAnsi" w:hAnsiTheme="minorHAnsi" w:cs="Arial"/>
          <w:b/>
          <w:color w:val="442359"/>
          <w:sz w:val="24"/>
          <w:szCs w:val="24"/>
        </w:rPr>
      </w:pPr>
    </w:p>
    <w:p w14:paraId="639F3A3B" w14:textId="2510020C" w:rsidR="00B1587C" w:rsidRPr="002B2821" w:rsidRDefault="00B1587C" w:rsidP="00E540A0">
      <w:pPr>
        <w:pStyle w:val="BodyText"/>
        <w:spacing w:after="180" w:line="240" w:lineRule="auto"/>
        <w:rPr>
          <w:rFonts w:asciiTheme="minorHAnsi" w:hAnsiTheme="minorHAnsi" w:cs="Arial"/>
          <w:b/>
          <w:bCs/>
          <w:color w:val="442359"/>
          <w:sz w:val="24"/>
          <w:szCs w:val="24"/>
        </w:rPr>
      </w:pPr>
      <w:r w:rsidRPr="002B2821">
        <w:rPr>
          <w:rFonts w:asciiTheme="minorHAnsi" w:hAnsiTheme="minorHAnsi" w:cs="Arial"/>
          <w:b/>
          <w:bCs/>
          <w:color w:val="442359"/>
          <w:sz w:val="24"/>
          <w:szCs w:val="24"/>
        </w:rPr>
        <w:t xml:space="preserve">10   Trust </w:t>
      </w:r>
      <w:r w:rsidR="003F3A20" w:rsidRPr="002B2821">
        <w:rPr>
          <w:rFonts w:asciiTheme="minorHAnsi" w:hAnsiTheme="minorHAnsi" w:cs="Arial"/>
          <w:b/>
          <w:bCs/>
          <w:color w:val="442359"/>
          <w:sz w:val="24"/>
          <w:szCs w:val="24"/>
        </w:rPr>
        <w:t>F</w:t>
      </w:r>
      <w:r w:rsidRPr="002B2821">
        <w:rPr>
          <w:rFonts w:asciiTheme="minorHAnsi" w:hAnsiTheme="minorHAnsi" w:cs="Arial"/>
          <w:b/>
          <w:bCs/>
          <w:color w:val="442359"/>
          <w:sz w:val="24"/>
          <w:szCs w:val="24"/>
        </w:rPr>
        <w:t>u</w:t>
      </w:r>
      <w:r w:rsidR="004E3103" w:rsidRPr="002B2821">
        <w:rPr>
          <w:rFonts w:asciiTheme="minorHAnsi" w:hAnsiTheme="minorHAnsi" w:cs="Arial"/>
          <w:b/>
          <w:bCs/>
          <w:color w:val="442359"/>
          <w:sz w:val="24"/>
          <w:szCs w:val="24"/>
        </w:rPr>
        <w:t>n</w:t>
      </w:r>
      <w:r w:rsidRPr="002B2821">
        <w:rPr>
          <w:rFonts w:asciiTheme="minorHAnsi" w:hAnsiTheme="minorHAnsi" w:cs="Arial"/>
          <w:b/>
          <w:bCs/>
          <w:color w:val="442359"/>
          <w:sz w:val="24"/>
          <w:szCs w:val="24"/>
        </w:rPr>
        <w:t>d</w:t>
      </w:r>
      <w:r w:rsidR="004E3103" w:rsidRPr="002B2821">
        <w:rPr>
          <w:rFonts w:asciiTheme="minorHAnsi" w:hAnsiTheme="minorHAnsi" w:cs="Arial"/>
          <w:b/>
          <w:bCs/>
          <w:color w:val="442359"/>
          <w:sz w:val="24"/>
          <w:szCs w:val="24"/>
        </w:rPr>
        <w:t xml:space="preserve"> including comparatives</w:t>
      </w:r>
    </w:p>
    <w:tbl>
      <w:tblPr>
        <w:tblW w:w="8769" w:type="dxa"/>
        <w:tblLook w:val="04A0" w:firstRow="1" w:lastRow="0" w:firstColumn="1" w:lastColumn="0" w:noHBand="0" w:noVBand="1"/>
      </w:tblPr>
      <w:tblGrid>
        <w:gridCol w:w="2156"/>
        <w:gridCol w:w="1196"/>
        <w:gridCol w:w="1893"/>
        <w:gridCol w:w="942"/>
        <w:gridCol w:w="1240"/>
        <w:gridCol w:w="1120"/>
        <w:gridCol w:w="222"/>
      </w:tblGrid>
      <w:tr w:rsidR="004E3103" w:rsidRPr="002B2821" w14:paraId="4F79A35D" w14:textId="77777777" w:rsidTr="000E7AE0">
        <w:trPr>
          <w:trHeight w:val="255"/>
        </w:trPr>
        <w:tc>
          <w:tcPr>
            <w:tcW w:w="2156" w:type="dxa"/>
            <w:shd w:val="clear" w:color="auto" w:fill="auto"/>
            <w:noWrap/>
            <w:vAlign w:val="bottom"/>
            <w:hideMark/>
          </w:tcPr>
          <w:p w14:paraId="566C28FB" w14:textId="77777777" w:rsidR="004E3103" w:rsidRPr="002B2821" w:rsidRDefault="004E3103" w:rsidP="004E3103">
            <w:pPr>
              <w:spacing w:after="0" w:line="240" w:lineRule="auto"/>
              <w:rPr>
                <w:sz w:val="24"/>
                <w:szCs w:val="24"/>
                <w:lang w:eastAsia="en-GB"/>
              </w:rPr>
            </w:pPr>
          </w:p>
        </w:tc>
        <w:tc>
          <w:tcPr>
            <w:tcW w:w="1196" w:type="dxa"/>
            <w:tcBorders>
              <w:right w:val="single" w:sz="4" w:space="0" w:color="3C3C3C"/>
            </w:tcBorders>
            <w:shd w:val="clear" w:color="auto" w:fill="auto"/>
            <w:noWrap/>
            <w:vAlign w:val="bottom"/>
            <w:hideMark/>
          </w:tcPr>
          <w:p w14:paraId="0E6D1402" w14:textId="77777777" w:rsidR="004E3103" w:rsidRPr="002B2821" w:rsidRDefault="004E3103" w:rsidP="004E3103">
            <w:pPr>
              <w:spacing w:after="0" w:line="240" w:lineRule="auto"/>
              <w:rPr>
                <w:lang w:eastAsia="en-GB"/>
              </w:rPr>
            </w:pPr>
          </w:p>
        </w:tc>
        <w:tc>
          <w:tcPr>
            <w:tcW w:w="2835" w:type="dxa"/>
            <w:gridSpan w:val="2"/>
            <w:tcBorders>
              <w:top w:val="single" w:sz="4" w:space="0" w:color="3C3C3C"/>
              <w:left w:val="single" w:sz="4" w:space="0" w:color="3C3C3C"/>
              <w:right w:val="single" w:sz="4" w:space="0" w:color="3C3C3C"/>
            </w:tcBorders>
            <w:shd w:val="clear" w:color="auto" w:fill="auto"/>
            <w:noWrap/>
            <w:vAlign w:val="center"/>
            <w:hideMark/>
          </w:tcPr>
          <w:p w14:paraId="09A536A5" w14:textId="77777777" w:rsidR="004E3103" w:rsidRPr="002B2821" w:rsidRDefault="004E3103" w:rsidP="004E3103">
            <w:pPr>
              <w:spacing w:after="0" w:line="240" w:lineRule="auto"/>
              <w:jc w:val="center"/>
              <w:rPr>
                <w:rFonts w:ascii="Calibri" w:hAnsi="Calibri" w:cs="Arial"/>
                <w:b/>
                <w:bCs/>
                <w:color w:val="333399"/>
                <w:sz w:val="22"/>
                <w:szCs w:val="22"/>
                <w:lang w:eastAsia="en-GB"/>
              </w:rPr>
            </w:pPr>
            <w:r w:rsidRPr="000E7AE0">
              <w:rPr>
                <w:rFonts w:ascii="Calibri" w:hAnsi="Calibri" w:cs="Arial"/>
                <w:b/>
                <w:bCs/>
                <w:color w:val="333399"/>
                <w:sz w:val="24"/>
                <w:szCs w:val="22"/>
                <w:lang w:eastAsia="en-GB"/>
              </w:rPr>
              <w:t>Unrestricted funds</w:t>
            </w:r>
          </w:p>
        </w:tc>
        <w:tc>
          <w:tcPr>
            <w:tcW w:w="1240" w:type="dxa"/>
            <w:tcBorders>
              <w:left w:val="single" w:sz="4" w:space="0" w:color="3C3C3C"/>
            </w:tcBorders>
            <w:shd w:val="clear" w:color="auto" w:fill="auto"/>
            <w:noWrap/>
            <w:vAlign w:val="bottom"/>
            <w:hideMark/>
          </w:tcPr>
          <w:p w14:paraId="222E07F9" w14:textId="77777777" w:rsidR="004E3103" w:rsidRPr="002B2821" w:rsidRDefault="004E3103" w:rsidP="004E3103">
            <w:pPr>
              <w:spacing w:after="0" w:line="240" w:lineRule="auto"/>
              <w:jc w:val="center"/>
              <w:rPr>
                <w:rFonts w:ascii="Calibri" w:hAnsi="Calibri" w:cs="Arial"/>
                <w:b/>
                <w:bCs/>
                <w:color w:val="333399"/>
                <w:sz w:val="22"/>
                <w:szCs w:val="22"/>
                <w:lang w:eastAsia="en-GB"/>
              </w:rPr>
            </w:pPr>
          </w:p>
        </w:tc>
        <w:tc>
          <w:tcPr>
            <w:tcW w:w="1120" w:type="dxa"/>
            <w:shd w:val="clear" w:color="auto" w:fill="auto"/>
            <w:noWrap/>
            <w:vAlign w:val="bottom"/>
            <w:hideMark/>
          </w:tcPr>
          <w:p w14:paraId="5AF49F7E"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75977BE9" w14:textId="77777777" w:rsidR="004E3103" w:rsidRPr="002B2821" w:rsidRDefault="004E3103" w:rsidP="004E3103">
            <w:pPr>
              <w:spacing w:after="0" w:line="240" w:lineRule="auto"/>
              <w:rPr>
                <w:lang w:eastAsia="en-GB"/>
              </w:rPr>
            </w:pPr>
          </w:p>
        </w:tc>
      </w:tr>
      <w:tr w:rsidR="004E3103" w:rsidRPr="002B2821" w14:paraId="72F9F811" w14:textId="77777777" w:rsidTr="000E7AE0">
        <w:trPr>
          <w:trHeight w:val="255"/>
        </w:trPr>
        <w:tc>
          <w:tcPr>
            <w:tcW w:w="2156" w:type="dxa"/>
            <w:shd w:val="clear" w:color="auto" w:fill="auto"/>
            <w:noWrap/>
            <w:vAlign w:val="bottom"/>
            <w:hideMark/>
          </w:tcPr>
          <w:p w14:paraId="087CFB3C" w14:textId="77777777" w:rsidR="004E3103" w:rsidRPr="002B2821" w:rsidRDefault="004E3103" w:rsidP="004E3103">
            <w:pPr>
              <w:spacing w:after="0" w:line="240" w:lineRule="auto"/>
              <w:rPr>
                <w:lang w:eastAsia="en-GB"/>
              </w:rPr>
            </w:pPr>
          </w:p>
        </w:tc>
        <w:tc>
          <w:tcPr>
            <w:tcW w:w="1196" w:type="dxa"/>
            <w:tcBorders>
              <w:right w:val="single" w:sz="4" w:space="0" w:color="3C3C3C"/>
            </w:tcBorders>
            <w:shd w:val="clear" w:color="auto" w:fill="auto"/>
            <w:noWrap/>
            <w:vAlign w:val="bottom"/>
            <w:hideMark/>
          </w:tcPr>
          <w:p w14:paraId="3DBED51C" w14:textId="77777777" w:rsidR="004E3103" w:rsidRPr="002B2821" w:rsidRDefault="004E3103" w:rsidP="004E3103">
            <w:pPr>
              <w:spacing w:after="0" w:line="240" w:lineRule="auto"/>
              <w:rPr>
                <w:lang w:eastAsia="en-GB"/>
              </w:rPr>
            </w:pPr>
          </w:p>
        </w:tc>
        <w:tc>
          <w:tcPr>
            <w:tcW w:w="1893" w:type="dxa"/>
            <w:tcBorders>
              <w:left w:val="single" w:sz="4" w:space="0" w:color="3C3C3C"/>
            </w:tcBorders>
            <w:shd w:val="clear" w:color="auto" w:fill="auto"/>
            <w:noWrap/>
            <w:vAlign w:val="bottom"/>
            <w:hideMark/>
          </w:tcPr>
          <w:p w14:paraId="5D02625F" w14:textId="5AB2E684" w:rsidR="004E3103" w:rsidRPr="002B2821" w:rsidRDefault="004E3103" w:rsidP="005808D4">
            <w:pPr>
              <w:spacing w:after="0" w:line="240" w:lineRule="auto"/>
              <w:jc w:val="right"/>
              <w:rPr>
                <w:rFonts w:ascii="Calibri" w:hAnsi="Calibri" w:cs="Arial"/>
                <w:b/>
                <w:bCs/>
                <w:color w:val="333399"/>
                <w:sz w:val="22"/>
                <w:szCs w:val="22"/>
                <w:lang w:eastAsia="en-GB"/>
              </w:rPr>
            </w:pPr>
          </w:p>
        </w:tc>
        <w:tc>
          <w:tcPr>
            <w:tcW w:w="942" w:type="dxa"/>
            <w:tcBorders>
              <w:right w:val="single" w:sz="4" w:space="0" w:color="3C3C3C"/>
            </w:tcBorders>
            <w:shd w:val="clear" w:color="auto" w:fill="auto"/>
            <w:noWrap/>
            <w:vAlign w:val="bottom"/>
            <w:hideMark/>
          </w:tcPr>
          <w:p w14:paraId="3F84B020" w14:textId="77777777" w:rsidR="004E3103" w:rsidRPr="002B2821" w:rsidRDefault="004E3103" w:rsidP="009C62EF">
            <w:pPr>
              <w:spacing w:after="0" w:line="240" w:lineRule="auto"/>
              <w:jc w:val="right"/>
              <w:rPr>
                <w:rFonts w:ascii="Calibri" w:hAnsi="Calibri" w:cs="Arial"/>
                <w:b/>
                <w:bCs/>
                <w:color w:val="333399"/>
                <w:sz w:val="22"/>
                <w:szCs w:val="22"/>
                <w:lang w:eastAsia="en-GB"/>
              </w:rPr>
            </w:pPr>
          </w:p>
        </w:tc>
        <w:tc>
          <w:tcPr>
            <w:tcW w:w="1240" w:type="dxa"/>
            <w:tcBorders>
              <w:left w:val="single" w:sz="4" w:space="0" w:color="3C3C3C"/>
            </w:tcBorders>
            <w:shd w:val="clear" w:color="auto" w:fill="auto"/>
            <w:noWrap/>
            <w:vAlign w:val="bottom"/>
            <w:hideMark/>
          </w:tcPr>
          <w:p w14:paraId="60659EC1" w14:textId="77777777" w:rsidR="004E3103" w:rsidRPr="002B2821" w:rsidRDefault="004E3103" w:rsidP="0065093C">
            <w:pPr>
              <w:spacing w:after="0" w:line="240" w:lineRule="auto"/>
              <w:jc w:val="right"/>
              <w:rPr>
                <w:lang w:eastAsia="en-GB"/>
              </w:rPr>
            </w:pPr>
          </w:p>
        </w:tc>
        <w:tc>
          <w:tcPr>
            <w:tcW w:w="1120" w:type="dxa"/>
            <w:shd w:val="clear" w:color="auto" w:fill="auto"/>
            <w:noWrap/>
            <w:vAlign w:val="bottom"/>
            <w:hideMark/>
          </w:tcPr>
          <w:p w14:paraId="358837DE" w14:textId="77777777" w:rsidR="004E3103" w:rsidRPr="002B2821" w:rsidRDefault="004E3103" w:rsidP="00DD7A47">
            <w:pPr>
              <w:spacing w:after="0" w:line="240" w:lineRule="auto"/>
              <w:jc w:val="right"/>
              <w:rPr>
                <w:lang w:eastAsia="en-GB"/>
              </w:rPr>
            </w:pPr>
          </w:p>
        </w:tc>
        <w:tc>
          <w:tcPr>
            <w:tcW w:w="222" w:type="dxa"/>
            <w:shd w:val="clear" w:color="auto" w:fill="auto"/>
            <w:noWrap/>
            <w:vAlign w:val="bottom"/>
            <w:hideMark/>
          </w:tcPr>
          <w:p w14:paraId="45D40CC0" w14:textId="77777777" w:rsidR="004E3103" w:rsidRPr="002B2821" w:rsidRDefault="004E3103" w:rsidP="004E3103">
            <w:pPr>
              <w:spacing w:after="0" w:line="240" w:lineRule="auto"/>
              <w:jc w:val="right"/>
              <w:rPr>
                <w:lang w:eastAsia="en-GB"/>
              </w:rPr>
            </w:pPr>
          </w:p>
        </w:tc>
      </w:tr>
      <w:tr w:rsidR="0065093C" w:rsidRPr="002B2821" w14:paraId="34753907" w14:textId="77777777" w:rsidTr="000E7AE0">
        <w:trPr>
          <w:trHeight w:val="255"/>
        </w:trPr>
        <w:tc>
          <w:tcPr>
            <w:tcW w:w="2156" w:type="dxa"/>
            <w:shd w:val="clear" w:color="auto" w:fill="auto"/>
            <w:noWrap/>
            <w:vAlign w:val="bottom"/>
            <w:hideMark/>
          </w:tcPr>
          <w:p w14:paraId="7AAE879A" w14:textId="77777777" w:rsidR="0065093C" w:rsidRPr="002B2821" w:rsidRDefault="0065093C" w:rsidP="0065093C">
            <w:pPr>
              <w:spacing w:after="0" w:line="240" w:lineRule="auto"/>
              <w:rPr>
                <w:lang w:eastAsia="en-GB"/>
              </w:rPr>
            </w:pPr>
          </w:p>
        </w:tc>
        <w:tc>
          <w:tcPr>
            <w:tcW w:w="1196" w:type="dxa"/>
            <w:tcBorders>
              <w:right w:val="single" w:sz="4" w:space="0" w:color="3C3C3C"/>
            </w:tcBorders>
            <w:shd w:val="clear" w:color="auto" w:fill="auto"/>
            <w:noWrap/>
            <w:vAlign w:val="bottom"/>
            <w:hideMark/>
          </w:tcPr>
          <w:p w14:paraId="149520A6" w14:textId="77777777" w:rsidR="0065093C" w:rsidRPr="002B2821" w:rsidRDefault="0065093C" w:rsidP="0065093C">
            <w:pPr>
              <w:spacing w:after="0" w:line="240" w:lineRule="auto"/>
              <w:rPr>
                <w:lang w:eastAsia="en-GB"/>
              </w:rPr>
            </w:pPr>
          </w:p>
        </w:tc>
        <w:tc>
          <w:tcPr>
            <w:tcW w:w="1893" w:type="dxa"/>
            <w:tcBorders>
              <w:left w:val="single" w:sz="4" w:space="0" w:color="3C3C3C"/>
            </w:tcBorders>
            <w:shd w:val="clear" w:color="auto" w:fill="auto"/>
            <w:noWrap/>
            <w:vAlign w:val="bottom"/>
            <w:hideMark/>
          </w:tcPr>
          <w:p w14:paraId="381243F7" w14:textId="1E69E07F"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942" w:type="dxa"/>
            <w:tcBorders>
              <w:right w:val="single" w:sz="4" w:space="0" w:color="3C3C3C"/>
            </w:tcBorders>
            <w:shd w:val="clear" w:color="auto" w:fill="auto"/>
            <w:noWrap/>
            <w:vAlign w:val="bottom"/>
            <w:hideMark/>
          </w:tcPr>
          <w:p w14:paraId="2FC63565"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General</w:t>
            </w:r>
          </w:p>
        </w:tc>
        <w:tc>
          <w:tcPr>
            <w:tcW w:w="1240" w:type="dxa"/>
            <w:tcBorders>
              <w:left w:val="single" w:sz="4" w:space="0" w:color="3C3C3C"/>
            </w:tcBorders>
            <w:shd w:val="clear" w:color="auto" w:fill="auto"/>
            <w:noWrap/>
            <w:vAlign w:val="bottom"/>
            <w:hideMark/>
          </w:tcPr>
          <w:p w14:paraId="61FB3549"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Restricted</w:t>
            </w:r>
          </w:p>
        </w:tc>
        <w:tc>
          <w:tcPr>
            <w:tcW w:w="1120" w:type="dxa"/>
            <w:shd w:val="clear" w:color="auto" w:fill="auto"/>
            <w:noWrap/>
            <w:vAlign w:val="bottom"/>
            <w:hideMark/>
          </w:tcPr>
          <w:p w14:paraId="7D382A4D" w14:textId="77777777" w:rsidR="0065093C" w:rsidRPr="002B2821" w:rsidRDefault="0065093C" w:rsidP="00DD7A47">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Total</w:t>
            </w:r>
          </w:p>
        </w:tc>
        <w:tc>
          <w:tcPr>
            <w:tcW w:w="222" w:type="dxa"/>
            <w:shd w:val="clear" w:color="auto" w:fill="auto"/>
            <w:noWrap/>
            <w:vAlign w:val="bottom"/>
            <w:hideMark/>
          </w:tcPr>
          <w:p w14:paraId="6EBBC4AE"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65093C" w:rsidRPr="002B2821" w14:paraId="0F4B71D5" w14:textId="77777777" w:rsidTr="000E7AE0">
        <w:trPr>
          <w:trHeight w:val="255"/>
        </w:trPr>
        <w:tc>
          <w:tcPr>
            <w:tcW w:w="2156" w:type="dxa"/>
            <w:shd w:val="clear" w:color="auto" w:fill="auto"/>
            <w:noWrap/>
            <w:vAlign w:val="bottom"/>
            <w:hideMark/>
          </w:tcPr>
          <w:p w14:paraId="10199817" w14:textId="77777777" w:rsidR="0065093C" w:rsidRPr="002B2821" w:rsidRDefault="0065093C" w:rsidP="0065093C">
            <w:pPr>
              <w:spacing w:after="0" w:line="240" w:lineRule="auto"/>
              <w:rPr>
                <w:lang w:eastAsia="en-GB"/>
              </w:rPr>
            </w:pPr>
          </w:p>
        </w:tc>
        <w:tc>
          <w:tcPr>
            <w:tcW w:w="1196" w:type="dxa"/>
            <w:tcBorders>
              <w:right w:val="single" w:sz="4" w:space="0" w:color="3C3C3C"/>
            </w:tcBorders>
            <w:shd w:val="clear" w:color="auto" w:fill="auto"/>
            <w:noWrap/>
            <w:vAlign w:val="bottom"/>
            <w:hideMark/>
          </w:tcPr>
          <w:p w14:paraId="40EC55F7" w14:textId="77777777" w:rsidR="0065093C" w:rsidRPr="002B2821" w:rsidRDefault="0065093C" w:rsidP="0065093C">
            <w:pPr>
              <w:spacing w:after="0" w:line="240" w:lineRule="auto"/>
              <w:rPr>
                <w:lang w:eastAsia="en-GB"/>
              </w:rPr>
            </w:pPr>
          </w:p>
        </w:tc>
        <w:tc>
          <w:tcPr>
            <w:tcW w:w="1893" w:type="dxa"/>
            <w:tcBorders>
              <w:left w:val="single" w:sz="4" w:space="0" w:color="3C3C3C"/>
            </w:tcBorders>
            <w:shd w:val="clear" w:color="auto" w:fill="auto"/>
            <w:noWrap/>
            <w:vAlign w:val="bottom"/>
            <w:hideMark/>
          </w:tcPr>
          <w:p w14:paraId="45AAB3A1" w14:textId="573BC437" w:rsidR="0065093C" w:rsidRPr="002B2821" w:rsidRDefault="0065093C" w:rsidP="0065093C">
            <w:pPr>
              <w:spacing w:after="0" w:line="240" w:lineRule="auto"/>
              <w:jc w:val="right"/>
              <w:rPr>
                <w:rFonts w:ascii="Calibri" w:hAnsi="Calibri" w:cs="Arial"/>
                <w:b/>
                <w:bCs/>
                <w:color w:val="333399"/>
                <w:sz w:val="22"/>
                <w:szCs w:val="22"/>
                <w:lang w:eastAsia="en-GB"/>
              </w:rPr>
            </w:pPr>
            <w:r>
              <w:rPr>
                <w:rFonts w:ascii="Calibri" w:hAnsi="Calibri" w:cs="Arial"/>
                <w:b/>
                <w:bCs/>
                <w:color w:val="333399"/>
                <w:sz w:val="22"/>
                <w:szCs w:val="22"/>
                <w:lang w:eastAsia="en-GB"/>
              </w:rPr>
              <w:t>m</w:t>
            </w:r>
            <w:r w:rsidRPr="0065093C">
              <w:rPr>
                <w:rFonts w:ascii="Calibri" w:hAnsi="Calibri" w:cs="Arial"/>
                <w:b/>
                <w:bCs/>
                <w:color w:val="333399"/>
                <w:sz w:val="22"/>
                <w:szCs w:val="22"/>
                <w:lang w:eastAsia="en-GB"/>
              </w:rPr>
              <w:t>emorandum</w:t>
            </w:r>
          </w:p>
        </w:tc>
        <w:tc>
          <w:tcPr>
            <w:tcW w:w="942" w:type="dxa"/>
            <w:tcBorders>
              <w:right w:val="single" w:sz="4" w:space="0" w:color="3C3C3C"/>
            </w:tcBorders>
            <w:shd w:val="clear" w:color="auto" w:fill="auto"/>
            <w:noWrap/>
            <w:vAlign w:val="bottom"/>
            <w:hideMark/>
          </w:tcPr>
          <w:p w14:paraId="40BA0B98"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w:t>
            </w:r>
          </w:p>
        </w:tc>
        <w:tc>
          <w:tcPr>
            <w:tcW w:w="1240" w:type="dxa"/>
            <w:tcBorders>
              <w:left w:val="single" w:sz="4" w:space="0" w:color="3C3C3C"/>
            </w:tcBorders>
            <w:shd w:val="clear" w:color="auto" w:fill="auto"/>
            <w:noWrap/>
            <w:vAlign w:val="bottom"/>
            <w:hideMark/>
          </w:tcPr>
          <w:p w14:paraId="3C5B9378"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1120" w:type="dxa"/>
            <w:shd w:val="clear" w:color="auto" w:fill="auto"/>
            <w:noWrap/>
            <w:vAlign w:val="bottom"/>
            <w:hideMark/>
          </w:tcPr>
          <w:p w14:paraId="203546DA" w14:textId="77777777" w:rsidR="0065093C" w:rsidRPr="002B2821" w:rsidRDefault="0065093C" w:rsidP="00DD7A47">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Trust</w:t>
            </w:r>
          </w:p>
        </w:tc>
        <w:tc>
          <w:tcPr>
            <w:tcW w:w="222" w:type="dxa"/>
            <w:shd w:val="clear" w:color="auto" w:fill="auto"/>
            <w:noWrap/>
            <w:vAlign w:val="bottom"/>
            <w:hideMark/>
          </w:tcPr>
          <w:p w14:paraId="36EBCE05"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4E3103" w:rsidRPr="002B2821" w14:paraId="1E9FC538" w14:textId="77777777" w:rsidTr="000E7AE0">
        <w:trPr>
          <w:trHeight w:val="255"/>
        </w:trPr>
        <w:tc>
          <w:tcPr>
            <w:tcW w:w="2156" w:type="dxa"/>
            <w:shd w:val="clear" w:color="auto" w:fill="auto"/>
            <w:noWrap/>
            <w:vAlign w:val="bottom"/>
            <w:hideMark/>
          </w:tcPr>
          <w:p w14:paraId="5C5AADF4" w14:textId="77777777" w:rsidR="004E3103" w:rsidRPr="002B2821" w:rsidRDefault="004E3103" w:rsidP="004E3103">
            <w:pPr>
              <w:spacing w:after="0" w:line="240" w:lineRule="auto"/>
              <w:rPr>
                <w:lang w:eastAsia="en-GB"/>
              </w:rPr>
            </w:pPr>
          </w:p>
        </w:tc>
        <w:tc>
          <w:tcPr>
            <w:tcW w:w="1196" w:type="dxa"/>
            <w:tcBorders>
              <w:right w:val="single" w:sz="4" w:space="0" w:color="3C3C3C"/>
            </w:tcBorders>
            <w:shd w:val="clear" w:color="auto" w:fill="auto"/>
            <w:noWrap/>
            <w:vAlign w:val="bottom"/>
            <w:hideMark/>
          </w:tcPr>
          <w:p w14:paraId="1DD03E9D" w14:textId="77777777" w:rsidR="004E3103" w:rsidRPr="002B2821" w:rsidRDefault="004E3103" w:rsidP="004E3103">
            <w:pPr>
              <w:spacing w:after="0" w:line="240" w:lineRule="auto"/>
              <w:rPr>
                <w:lang w:eastAsia="en-GB"/>
              </w:rPr>
            </w:pPr>
          </w:p>
        </w:tc>
        <w:tc>
          <w:tcPr>
            <w:tcW w:w="1893" w:type="dxa"/>
            <w:tcBorders>
              <w:left w:val="single" w:sz="4" w:space="0" w:color="3C3C3C"/>
            </w:tcBorders>
            <w:shd w:val="clear" w:color="auto" w:fill="auto"/>
            <w:noWrap/>
            <w:vAlign w:val="bottom"/>
            <w:hideMark/>
          </w:tcPr>
          <w:p w14:paraId="58FEBFC3" w14:textId="77777777" w:rsidR="004E3103" w:rsidRPr="002B2821" w:rsidRDefault="004E3103"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942" w:type="dxa"/>
            <w:tcBorders>
              <w:right w:val="single" w:sz="4" w:space="0" w:color="3C3C3C"/>
            </w:tcBorders>
            <w:shd w:val="clear" w:color="auto" w:fill="auto"/>
            <w:noWrap/>
            <w:vAlign w:val="bottom"/>
            <w:hideMark/>
          </w:tcPr>
          <w:p w14:paraId="400F748E" w14:textId="77777777" w:rsidR="004E3103" w:rsidRPr="002B2821" w:rsidRDefault="004E3103" w:rsidP="009C62EF">
            <w:pPr>
              <w:spacing w:after="0" w:line="240" w:lineRule="auto"/>
              <w:jc w:val="right"/>
              <w:rPr>
                <w:rFonts w:ascii="Calibri" w:hAnsi="Calibri" w:cs="Arial"/>
                <w:b/>
                <w:bCs/>
                <w:color w:val="333399"/>
                <w:sz w:val="22"/>
                <w:szCs w:val="22"/>
                <w:lang w:eastAsia="en-GB"/>
              </w:rPr>
            </w:pPr>
          </w:p>
        </w:tc>
        <w:tc>
          <w:tcPr>
            <w:tcW w:w="1240" w:type="dxa"/>
            <w:tcBorders>
              <w:left w:val="single" w:sz="4" w:space="0" w:color="3C3C3C"/>
            </w:tcBorders>
            <w:shd w:val="clear" w:color="auto" w:fill="auto"/>
            <w:noWrap/>
            <w:vAlign w:val="bottom"/>
            <w:hideMark/>
          </w:tcPr>
          <w:p w14:paraId="2BF747D3" w14:textId="77777777" w:rsidR="004E3103" w:rsidRPr="002B2821" w:rsidRDefault="004E3103" w:rsidP="0065093C">
            <w:pPr>
              <w:spacing w:after="0" w:line="240" w:lineRule="auto"/>
              <w:jc w:val="right"/>
              <w:rPr>
                <w:lang w:eastAsia="en-GB"/>
              </w:rPr>
            </w:pPr>
          </w:p>
        </w:tc>
        <w:tc>
          <w:tcPr>
            <w:tcW w:w="1120" w:type="dxa"/>
            <w:shd w:val="clear" w:color="auto" w:fill="auto"/>
            <w:noWrap/>
            <w:vAlign w:val="bottom"/>
            <w:hideMark/>
          </w:tcPr>
          <w:p w14:paraId="488B3422" w14:textId="77777777" w:rsidR="004E3103" w:rsidRPr="002B2821" w:rsidRDefault="004E3103" w:rsidP="00DD7A47">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222" w:type="dxa"/>
            <w:shd w:val="clear" w:color="auto" w:fill="auto"/>
            <w:noWrap/>
            <w:vAlign w:val="bottom"/>
            <w:hideMark/>
          </w:tcPr>
          <w:p w14:paraId="1F5BC4F6"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2050D313" w14:textId="77777777" w:rsidTr="000E7AE0">
        <w:trPr>
          <w:trHeight w:val="255"/>
        </w:trPr>
        <w:tc>
          <w:tcPr>
            <w:tcW w:w="2156" w:type="dxa"/>
            <w:shd w:val="clear" w:color="auto" w:fill="auto"/>
            <w:noWrap/>
            <w:vAlign w:val="bottom"/>
            <w:hideMark/>
          </w:tcPr>
          <w:p w14:paraId="725DC37E" w14:textId="77777777" w:rsidR="004E3103" w:rsidRPr="002B2821" w:rsidRDefault="004E3103" w:rsidP="004E3103">
            <w:pPr>
              <w:spacing w:after="0" w:line="240" w:lineRule="auto"/>
              <w:rPr>
                <w:lang w:eastAsia="en-GB"/>
              </w:rPr>
            </w:pPr>
          </w:p>
        </w:tc>
        <w:tc>
          <w:tcPr>
            <w:tcW w:w="1196" w:type="dxa"/>
            <w:tcBorders>
              <w:right w:val="single" w:sz="4" w:space="0" w:color="3C3C3C"/>
            </w:tcBorders>
            <w:shd w:val="clear" w:color="auto" w:fill="auto"/>
            <w:noWrap/>
            <w:vAlign w:val="bottom"/>
            <w:hideMark/>
          </w:tcPr>
          <w:p w14:paraId="1221A3ED" w14:textId="77777777" w:rsidR="004E3103" w:rsidRPr="002B2821" w:rsidRDefault="004E3103" w:rsidP="004E3103">
            <w:pPr>
              <w:spacing w:after="0" w:line="240" w:lineRule="auto"/>
              <w:rPr>
                <w:lang w:eastAsia="en-GB"/>
              </w:rPr>
            </w:pPr>
          </w:p>
        </w:tc>
        <w:tc>
          <w:tcPr>
            <w:tcW w:w="1893" w:type="dxa"/>
            <w:tcBorders>
              <w:left w:val="single" w:sz="4" w:space="0" w:color="3C3C3C"/>
            </w:tcBorders>
            <w:shd w:val="clear" w:color="auto" w:fill="auto"/>
            <w:noWrap/>
            <w:vAlign w:val="bottom"/>
            <w:hideMark/>
          </w:tcPr>
          <w:p w14:paraId="2F9A64FC" w14:textId="77777777" w:rsidR="004E3103" w:rsidRPr="002B2821" w:rsidRDefault="004E3103"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942" w:type="dxa"/>
            <w:tcBorders>
              <w:right w:val="single" w:sz="4" w:space="0" w:color="3C3C3C"/>
            </w:tcBorders>
            <w:shd w:val="clear" w:color="auto" w:fill="auto"/>
            <w:noWrap/>
            <w:vAlign w:val="bottom"/>
            <w:hideMark/>
          </w:tcPr>
          <w:p w14:paraId="5120DFA1" w14:textId="77777777" w:rsidR="004E3103" w:rsidRPr="002B2821" w:rsidRDefault="004E3103" w:rsidP="009C62EF">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240" w:type="dxa"/>
            <w:tcBorders>
              <w:left w:val="single" w:sz="4" w:space="0" w:color="3C3C3C"/>
            </w:tcBorders>
            <w:shd w:val="clear" w:color="auto" w:fill="auto"/>
            <w:noWrap/>
            <w:vAlign w:val="bottom"/>
            <w:hideMark/>
          </w:tcPr>
          <w:p w14:paraId="752FF349" w14:textId="77777777" w:rsidR="004E3103" w:rsidRPr="002B2821" w:rsidRDefault="004E3103"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120" w:type="dxa"/>
            <w:shd w:val="clear" w:color="auto" w:fill="auto"/>
            <w:noWrap/>
            <w:vAlign w:val="bottom"/>
            <w:hideMark/>
          </w:tcPr>
          <w:p w14:paraId="4B952284" w14:textId="77777777" w:rsidR="004E3103" w:rsidRPr="002B2821" w:rsidRDefault="004E3103" w:rsidP="00DD7A47">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222" w:type="dxa"/>
            <w:shd w:val="clear" w:color="auto" w:fill="auto"/>
            <w:noWrap/>
            <w:vAlign w:val="bottom"/>
            <w:hideMark/>
          </w:tcPr>
          <w:p w14:paraId="335A0A7B"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7FD05BF9" w14:textId="77777777" w:rsidTr="000E7AE0">
        <w:trPr>
          <w:trHeight w:val="255"/>
        </w:trPr>
        <w:tc>
          <w:tcPr>
            <w:tcW w:w="2156" w:type="dxa"/>
            <w:shd w:val="clear" w:color="auto" w:fill="auto"/>
            <w:noWrap/>
            <w:vAlign w:val="bottom"/>
            <w:hideMark/>
          </w:tcPr>
          <w:p w14:paraId="57BE30D4" w14:textId="77777777" w:rsidR="004E3103" w:rsidRPr="002B2821" w:rsidRDefault="004E3103" w:rsidP="004E3103">
            <w:pPr>
              <w:spacing w:after="0" w:line="240" w:lineRule="auto"/>
              <w:rPr>
                <w:lang w:eastAsia="en-GB"/>
              </w:rPr>
            </w:pPr>
          </w:p>
        </w:tc>
        <w:tc>
          <w:tcPr>
            <w:tcW w:w="1196" w:type="dxa"/>
            <w:tcBorders>
              <w:right w:val="single" w:sz="4" w:space="0" w:color="3C3C3C"/>
            </w:tcBorders>
            <w:shd w:val="clear" w:color="auto" w:fill="auto"/>
            <w:noWrap/>
            <w:vAlign w:val="bottom"/>
            <w:hideMark/>
          </w:tcPr>
          <w:p w14:paraId="3664264F" w14:textId="77777777" w:rsidR="004E3103" w:rsidRPr="002B2821" w:rsidRDefault="004E3103" w:rsidP="004E3103">
            <w:pPr>
              <w:spacing w:after="0" w:line="240" w:lineRule="auto"/>
              <w:rPr>
                <w:lang w:eastAsia="en-GB"/>
              </w:rPr>
            </w:pPr>
          </w:p>
        </w:tc>
        <w:tc>
          <w:tcPr>
            <w:tcW w:w="1893" w:type="dxa"/>
            <w:tcBorders>
              <w:left w:val="single" w:sz="4" w:space="0" w:color="3C3C3C"/>
              <w:bottom w:val="single" w:sz="4" w:space="0" w:color="3C3C3C"/>
            </w:tcBorders>
            <w:shd w:val="clear" w:color="auto" w:fill="auto"/>
            <w:noWrap/>
            <w:vAlign w:val="bottom"/>
            <w:hideMark/>
          </w:tcPr>
          <w:p w14:paraId="3B1E70C1" w14:textId="77777777" w:rsidR="004E3103" w:rsidRPr="002B2821" w:rsidRDefault="004E3103" w:rsidP="000E7AE0">
            <w:pPr>
              <w:spacing w:after="0" w:line="240" w:lineRule="auto"/>
              <w:jc w:val="right"/>
              <w:rPr>
                <w:lang w:eastAsia="en-GB"/>
              </w:rPr>
            </w:pPr>
          </w:p>
        </w:tc>
        <w:tc>
          <w:tcPr>
            <w:tcW w:w="942" w:type="dxa"/>
            <w:tcBorders>
              <w:bottom w:val="single" w:sz="4" w:space="0" w:color="3C3C3C"/>
              <w:right w:val="single" w:sz="4" w:space="0" w:color="3C3C3C"/>
            </w:tcBorders>
            <w:shd w:val="clear" w:color="auto" w:fill="auto"/>
            <w:noWrap/>
            <w:vAlign w:val="bottom"/>
            <w:hideMark/>
          </w:tcPr>
          <w:p w14:paraId="19D85D9A" w14:textId="77777777" w:rsidR="004E3103" w:rsidRPr="002B2821" w:rsidRDefault="004E3103" w:rsidP="000E7AE0">
            <w:pPr>
              <w:spacing w:after="0" w:line="240" w:lineRule="auto"/>
              <w:jc w:val="right"/>
              <w:rPr>
                <w:lang w:eastAsia="en-GB"/>
              </w:rPr>
            </w:pPr>
          </w:p>
        </w:tc>
        <w:tc>
          <w:tcPr>
            <w:tcW w:w="1240" w:type="dxa"/>
            <w:tcBorders>
              <w:left w:val="single" w:sz="4" w:space="0" w:color="3C3C3C"/>
              <w:bottom w:val="single" w:sz="4" w:space="0" w:color="3C3C3C"/>
            </w:tcBorders>
            <w:shd w:val="clear" w:color="auto" w:fill="auto"/>
            <w:noWrap/>
            <w:vAlign w:val="bottom"/>
            <w:hideMark/>
          </w:tcPr>
          <w:p w14:paraId="1C8BAD59" w14:textId="77777777" w:rsidR="004E3103" w:rsidRPr="002B2821" w:rsidRDefault="004E3103" w:rsidP="000E7AE0">
            <w:pPr>
              <w:spacing w:after="0" w:line="240" w:lineRule="auto"/>
              <w:jc w:val="right"/>
              <w:rPr>
                <w:lang w:eastAsia="en-GB"/>
              </w:rPr>
            </w:pPr>
          </w:p>
        </w:tc>
        <w:tc>
          <w:tcPr>
            <w:tcW w:w="1120" w:type="dxa"/>
            <w:tcBorders>
              <w:bottom w:val="single" w:sz="4" w:space="0" w:color="3C3C3C"/>
            </w:tcBorders>
            <w:shd w:val="clear" w:color="auto" w:fill="auto"/>
            <w:noWrap/>
            <w:vAlign w:val="bottom"/>
            <w:hideMark/>
          </w:tcPr>
          <w:p w14:paraId="3585DEFD" w14:textId="77777777" w:rsidR="004E3103" w:rsidRPr="002B2821" w:rsidRDefault="004E3103" w:rsidP="000E7AE0">
            <w:pPr>
              <w:spacing w:after="0" w:line="240" w:lineRule="auto"/>
              <w:jc w:val="right"/>
              <w:rPr>
                <w:lang w:eastAsia="en-GB"/>
              </w:rPr>
            </w:pPr>
          </w:p>
        </w:tc>
        <w:tc>
          <w:tcPr>
            <w:tcW w:w="222" w:type="dxa"/>
            <w:shd w:val="clear" w:color="auto" w:fill="auto"/>
            <w:noWrap/>
            <w:vAlign w:val="bottom"/>
            <w:hideMark/>
          </w:tcPr>
          <w:p w14:paraId="6BC85777" w14:textId="77777777" w:rsidR="004E3103" w:rsidRPr="002B2821" w:rsidRDefault="004E3103" w:rsidP="004E3103">
            <w:pPr>
              <w:spacing w:after="0" w:line="240" w:lineRule="auto"/>
              <w:rPr>
                <w:lang w:eastAsia="en-GB"/>
              </w:rPr>
            </w:pPr>
          </w:p>
        </w:tc>
      </w:tr>
      <w:tr w:rsidR="004E3103" w:rsidRPr="002B2821" w14:paraId="60B4DA16" w14:textId="77777777" w:rsidTr="000E7AE0">
        <w:trPr>
          <w:trHeight w:val="255"/>
        </w:trPr>
        <w:tc>
          <w:tcPr>
            <w:tcW w:w="3352" w:type="dxa"/>
            <w:gridSpan w:val="2"/>
            <w:tcBorders>
              <w:right w:val="single" w:sz="4" w:space="0" w:color="3C3C3C"/>
            </w:tcBorders>
            <w:shd w:val="clear" w:color="auto" w:fill="auto"/>
            <w:noWrap/>
            <w:vAlign w:val="bottom"/>
            <w:hideMark/>
          </w:tcPr>
          <w:p w14:paraId="77656773"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Balance as at 1 October 2017</w:t>
            </w:r>
          </w:p>
        </w:tc>
        <w:tc>
          <w:tcPr>
            <w:tcW w:w="1893" w:type="dxa"/>
            <w:tcBorders>
              <w:top w:val="single" w:sz="4" w:space="0" w:color="3C3C3C"/>
              <w:left w:val="single" w:sz="4" w:space="0" w:color="3C3C3C"/>
              <w:bottom w:val="single" w:sz="4" w:space="0" w:color="3C3C3C"/>
            </w:tcBorders>
            <w:shd w:val="clear" w:color="auto" w:fill="auto"/>
            <w:noWrap/>
            <w:vAlign w:val="bottom"/>
            <w:hideMark/>
          </w:tcPr>
          <w:p w14:paraId="083E9AB2" w14:textId="77777777" w:rsidR="004E3103" w:rsidRPr="002B2821" w:rsidRDefault="004E3103" w:rsidP="005808D4">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8,865</w:t>
            </w:r>
          </w:p>
        </w:tc>
        <w:tc>
          <w:tcPr>
            <w:tcW w:w="942" w:type="dxa"/>
            <w:tcBorders>
              <w:top w:val="single" w:sz="4" w:space="0" w:color="3C3C3C"/>
              <w:bottom w:val="single" w:sz="4" w:space="0" w:color="3C3C3C"/>
              <w:right w:val="single" w:sz="4" w:space="0" w:color="3C3C3C"/>
            </w:tcBorders>
            <w:shd w:val="clear" w:color="auto" w:fill="auto"/>
            <w:noWrap/>
            <w:vAlign w:val="bottom"/>
            <w:hideMark/>
          </w:tcPr>
          <w:p w14:paraId="64C15223" w14:textId="77777777" w:rsidR="004E3103" w:rsidRPr="002B2821" w:rsidRDefault="004E3103" w:rsidP="009C62EF">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150,621</w:t>
            </w:r>
          </w:p>
        </w:tc>
        <w:tc>
          <w:tcPr>
            <w:tcW w:w="1240" w:type="dxa"/>
            <w:tcBorders>
              <w:top w:val="single" w:sz="4" w:space="0" w:color="3C3C3C"/>
              <w:left w:val="single" w:sz="4" w:space="0" w:color="3C3C3C"/>
              <w:bottom w:val="single" w:sz="4" w:space="0" w:color="3C3C3C"/>
            </w:tcBorders>
            <w:shd w:val="clear" w:color="auto" w:fill="auto"/>
            <w:noWrap/>
            <w:vAlign w:val="bottom"/>
            <w:hideMark/>
          </w:tcPr>
          <w:p w14:paraId="677900BF" w14:textId="77777777" w:rsidR="004E3103" w:rsidRPr="002B2821" w:rsidRDefault="004E3103" w:rsidP="0065093C">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(585)</w:t>
            </w:r>
          </w:p>
        </w:tc>
        <w:tc>
          <w:tcPr>
            <w:tcW w:w="1120" w:type="dxa"/>
            <w:tcBorders>
              <w:top w:val="single" w:sz="4" w:space="0" w:color="3C3C3C"/>
              <w:bottom w:val="single" w:sz="4" w:space="0" w:color="3C3C3C"/>
            </w:tcBorders>
            <w:shd w:val="clear" w:color="auto" w:fill="auto"/>
            <w:noWrap/>
            <w:vAlign w:val="bottom"/>
            <w:hideMark/>
          </w:tcPr>
          <w:p w14:paraId="281E9F24" w14:textId="77777777" w:rsidR="004E3103" w:rsidRPr="002B2821" w:rsidRDefault="004E3103" w:rsidP="00DD7A47">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158,901</w:t>
            </w:r>
          </w:p>
        </w:tc>
        <w:tc>
          <w:tcPr>
            <w:tcW w:w="222" w:type="dxa"/>
            <w:shd w:val="clear" w:color="auto" w:fill="auto"/>
            <w:noWrap/>
            <w:vAlign w:val="bottom"/>
            <w:hideMark/>
          </w:tcPr>
          <w:p w14:paraId="39CBF64E"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2A22FEBC" w14:textId="77777777" w:rsidTr="000E7AE0">
        <w:trPr>
          <w:trHeight w:val="300"/>
        </w:trPr>
        <w:tc>
          <w:tcPr>
            <w:tcW w:w="2156" w:type="dxa"/>
            <w:shd w:val="clear" w:color="auto" w:fill="auto"/>
            <w:noWrap/>
            <w:vAlign w:val="bottom"/>
            <w:hideMark/>
          </w:tcPr>
          <w:p w14:paraId="151F7056" w14:textId="77777777" w:rsidR="004E3103" w:rsidRPr="002B2821" w:rsidRDefault="004E3103" w:rsidP="004E3103">
            <w:pPr>
              <w:spacing w:after="0" w:line="240" w:lineRule="auto"/>
              <w:rPr>
                <w:lang w:eastAsia="en-GB"/>
              </w:rPr>
            </w:pPr>
          </w:p>
        </w:tc>
        <w:tc>
          <w:tcPr>
            <w:tcW w:w="1196" w:type="dxa"/>
            <w:tcBorders>
              <w:right w:val="single" w:sz="4" w:space="0" w:color="3C3C3C"/>
            </w:tcBorders>
            <w:shd w:val="clear" w:color="auto" w:fill="auto"/>
            <w:noWrap/>
            <w:vAlign w:val="bottom"/>
            <w:hideMark/>
          </w:tcPr>
          <w:p w14:paraId="72254DC2" w14:textId="77777777" w:rsidR="004E3103" w:rsidRPr="002B2821" w:rsidRDefault="004E3103" w:rsidP="004E3103">
            <w:pPr>
              <w:spacing w:after="0" w:line="240" w:lineRule="auto"/>
              <w:rPr>
                <w:lang w:eastAsia="en-GB"/>
              </w:rPr>
            </w:pPr>
          </w:p>
        </w:tc>
        <w:tc>
          <w:tcPr>
            <w:tcW w:w="1893" w:type="dxa"/>
            <w:tcBorders>
              <w:left w:val="single" w:sz="4" w:space="0" w:color="3C3C3C"/>
            </w:tcBorders>
            <w:shd w:val="clear" w:color="auto" w:fill="auto"/>
            <w:noWrap/>
            <w:vAlign w:val="bottom"/>
            <w:hideMark/>
          </w:tcPr>
          <w:p w14:paraId="1C25065D" w14:textId="77777777" w:rsidR="004E3103" w:rsidRPr="002B2821" w:rsidRDefault="004E3103" w:rsidP="000E7AE0">
            <w:pPr>
              <w:spacing w:after="0" w:line="240" w:lineRule="auto"/>
              <w:jc w:val="right"/>
              <w:rPr>
                <w:lang w:eastAsia="en-GB"/>
              </w:rPr>
            </w:pPr>
          </w:p>
        </w:tc>
        <w:tc>
          <w:tcPr>
            <w:tcW w:w="942" w:type="dxa"/>
            <w:tcBorders>
              <w:top w:val="single" w:sz="4" w:space="0" w:color="3C3C3C"/>
              <w:right w:val="single" w:sz="4" w:space="0" w:color="3C3C3C"/>
            </w:tcBorders>
            <w:shd w:val="clear" w:color="auto" w:fill="auto"/>
            <w:noWrap/>
            <w:vAlign w:val="bottom"/>
            <w:hideMark/>
          </w:tcPr>
          <w:p w14:paraId="5371CD10" w14:textId="77777777" w:rsidR="004E3103" w:rsidRPr="002B2821" w:rsidRDefault="004E3103" w:rsidP="000E7AE0">
            <w:pPr>
              <w:spacing w:after="0" w:line="240" w:lineRule="auto"/>
              <w:jc w:val="right"/>
              <w:rPr>
                <w:lang w:eastAsia="en-GB"/>
              </w:rPr>
            </w:pPr>
          </w:p>
        </w:tc>
        <w:tc>
          <w:tcPr>
            <w:tcW w:w="1240" w:type="dxa"/>
            <w:tcBorders>
              <w:top w:val="single" w:sz="4" w:space="0" w:color="3C3C3C"/>
              <w:left w:val="single" w:sz="4" w:space="0" w:color="3C3C3C"/>
            </w:tcBorders>
            <w:shd w:val="clear" w:color="auto" w:fill="auto"/>
            <w:noWrap/>
            <w:vAlign w:val="bottom"/>
            <w:hideMark/>
          </w:tcPr>
          <w:p w14:paraId="4FD4D041" w14:textId="77777777" w:rsidR="004E3103" w:rsidRPr="002B2821" w:rsidRDefault="004E3103" w:rsidP="000E7AE0">
            <w:pPr>
              <w:spacing w:after="0" w:line="240" w:lineRule="auto"/>
              <w:jc w:val="right"/>
              <w:rPr>
                <w:lang w:eastAsia="en-GB"/>
              </w:rPr>
            </w:pPr>
          </w:p>
        </w:tc>
        <w:tc>
          <w:tcPr>
            <w:tcW w:w="1120" w:type="dxa"/>
            <w:tcBorders>
              <w:top w:val="single" w:sz="4" w:space="0" w:color="3C3C3C"/>
            </w:tcBorders>
            <w:shd w:val="clear" w:color="auto" w:fill="auto"/>
            <w:noWrap/>
            <w:vAlign w:val="bottom"/>
            <w:hideMark/>
          </w:tcPr>
          <w:p w14:paraId="3246279A" w14:textId="77777777" w:rsidR="004E3103" w:rsidRPr="002B2821" w:rsidRDefault="004E3103" w:rsidP="000E7AE0">
            <w:pPr>
              <w:spacing w:after="0" w:line="240" w:lineRule="auto"/>
              <w:jc w:val="right"/>
              <w:rPr>
                <w:lang w:eastAsia="en-GB"/>
              </w:rPr>
            </w:pPr>
          </w:p>
        </w:tc>
        <w:tc>
          <w:tcPr>
            <w:tcW w:w="222" w:type="dxa"/>
            <w:shd w:val="clear" w:color="auto" w:fill="auto"/>
            <w:noWrap/>
            <w:vAlign w:val="bottom"/>
            <w:hideMark/>
          </w:tcPr>
          <w:p w14:paraId="486A1E8E" w14:textId="77777777" w:rsidR="004E3103" w:rsidRPr="002B2821" w:rsidRDefault="004E3103" w:rsidP="004E3103">
            <w:pPr>
              <w:spacing w:after="0" w:line="240" w:lineRule="auto"/>
              <w:rPr>
                <w:lang w:eastAsia="en-GB"/>
              </w:rPr>
            </w:pPr>
          </w:p>
        </w:tc>
      </w:tr>
      <w:tr w:rsidR="004E3103" w:rsidRPr="002B2821" w14:paraId="4685D102" w14:textId="77777777" w:rsidTr="000E7AE0">
        <w:trPr>
          <w:trHeight w:val="255"/>
        </w:trPr>
        <w:tc>
          <w:tcPr>
            <w:tcW w:w="3352" w:type="dxa"/>
            <w:gridSpan w:val="2"/>
            <w:tcBorders>
              <w:right w:val="single" w:sz="4" w:space="0" w:color="3C3C3C"/>
            </w:tcBorders>
            <w:shd w:val="clear" w:color="auto" w:fill="auto"/>
            <w:noWrap/>
            <w:vAlign w:val="bottom"/>
            <w:hideMark/>
          </w:tcPr>
          <w:p w14:paraId="1B934146" w14:textId="53E00147" w:rsidR="004E3103" w:rsidRPr="002B2821" w:rsidRDefault="004E3103" w:rsidP="00124F97">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Net incoming resources</w:t>
            </w:r>
            <w:r w:rsidR="00124F97" w:rsidRPr="002B2821">
              <w:rPr>
                <w:rFonts w:ascii="Calibri" w:hAnsi="Calibri" w:cs="Arial"/>
                <w:color w:val="000000"/>
                <w:sz w:val="22"/>
                <w:szCs w:val="22"/>
                <w:lang w:eastAsia="en-GB"/>
              </w:rPr>
              <w:t xml:space="preserve"> </w:t>
            </w:r>
            <w:r w:rsidR="00106716" w:rsidRPr="002B2821">
              <w:rPr>
                <w:rFonts w:ascii="Calibri" w:hAnsi="Calibri" w:cs="Arial"/>
                <w:color w:val="000000"/>
                <w:sz w:val="22"/>
                <w:szCs w:val="22"/>
                <w:lang w:eastAsia="en-GB"/>
              </w:rPr>
              <w:t>as per Statement of Financial Activities</w:t>
            </w:r>
          </w:p>
        </w:tc>
        <w:tc>
          <w:tcPr>
            <w:tcW w:w="1893" w:type="dxa"/>
            <w:tcBorders>
              <w:left w:val="single" w:sz="4" w:space="0" w:color="3C3C3C"/>
            </w:tcBorders>
            <w:shd w:val="clear" w:color="auto" w:fill="auto"/>
            <w:noWrap/>
            <w:vAlign w:val="bottom"/>
            <w:hideMark/>
          </w:tcPr>
          <w:p w14:paraId="7B3BDF23" w14:textId="77777777" w:rsidR="004E3103" w:rsidRPr="002B2821" w:rsidRDefault="004E3103" w:rsidP="005808D4">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42" w:type="dxa"/>
            <w:tcBorders>
              <w:right w:val="single" w:sz="4" w:space="0" w:color="3C3C3C"/>
            </w:tcBorders>
            <w:shd w:val="clear" w:color="auto" w:fill="auto"/>
            <w:noWrap/>
            <w:vAlign w:val="bottom"/>
            <w:hideMark/>
          </w:tcPr>
          <w:p w14:paraId="42EC3135" w14:textId="77777777" w:rsidR="004E3103" w:rsidRPr="002B2821" w:rsidRDefault="004E3103" w:rsidP="009C62EF">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4,941</w:t>
            </w:r>
          </w:p>
        </w:tc>
        <w:tc>
          <w:tcPr>
            <w:tcW w:w="1240" w:type="dxa"/>
            <w:tcBorders>
              <w:left w:val="single" w:sz="4" w:space="0" w:color="3C3C3C"/>
            </w:tcBorders>
            <w:shd w:val="clear" w:color="auto" w:fill="auto"/>
            <w:noWrap/>
            <w:vAlign w:val="bottom"/>
            <w:hideMark/>
          </w:tcPr>
          <w:p w14:paraId="7A28A2E1" w14:textId="77777777" w:rsidR="004E3103" w:rsidRPr="002B2821" w:rsidRDefault="004E3103" w:rsidP="0065093C">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149</w:t>
            </w:r>
          </w:p>
        </w:tc>
        <w:tc>
          <w:tcPr>
            <w:tcW w:w="1120" w:type="dxa"/>
            <w:shd w:val="clear" w:color="auto" w:fill="auto"/>
            <w:noWrap/>
            <w:vAlign w:val="bottom"/>
            <w:hideMark/>
          </w:tcPr>
          <w:p w14:paraId="03FD8FC6" w14:textId="77777777" w:rsidR="004E3103" w:rsidRPr="002B2821" w:rsidRDefault="004E3103" w:rsidP="00DD7A47">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5,090</w:t>
            </w:r>
          </w:p>
        </w:tc>
        <w:tc>
          <w:tcPr>
            <w:tcW w:w="222" w:type="dxa"/>
            <w:shd w:val="clear" w:color="auto" w:fill="auto"/>
            <w:noWrap/>
            <w:vAlign w:val="bottom"/>
            <w:hideMark/>
          </w:tcPr>
          <w:p w14:paraId="31814020"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63A47E18" w14:textId="77777777" w:rsidTr="000E7AE0">
        <w:trPr>
          <w:trHeight w:val="132"/>
        </w:trPr>
        <w:tc>
          <w:tcPr>
            <w:tcW w:w="2156" w:type="dxa"/>
            <w:shd w:val="clear" w:color="auto" w:fill="auto"/>
            <w:noWrap/>
            <w:vAlign w:val="bottom"/>
            <w:hideMark/>
          </w:tcPr>
          <w:p w14:paraId="3A4319A9" w14:textId="77777777" w:rsidR="004E3103" w:rsidRPr="002B2821" w:rsidRDefault="004E3103" w:rsidP="000E7AE0">
            <w:pPr>
              <w:spacing w:after="0" w:line="240" w:lineRule="auto"/>
              <w:jc w:val="right"/>
              <w:rPr>
                <w:lang w:eastAsia="en-GB"/>
              </w:rPr>
            </w:pPr>
          </w:p>
        </w:tc>
        <w:tc>
          <w:tcPr>
            <w:tcW w:w="1196" w:type="dxa"/>
            <w:tcBorders>
              <w:right w:val="single" w:sz="4" w:space="0" w:color="3C3C3C"/>
            </w:tcBorders>
            <w:shd w:val="clear" w:color="auto" w:fill="auto"/>
            <w:noWrap/>
            <w:vAlign w:val="bottom"/>
            <w:hideMark/>
          </w:tcPr>
          <w:p w14:paraId="3B3C4143" w14:textId="77777777" w:rsidR="004E3103" w:rsidRPr="002B2821" w:rsidRDefault="004E3103" w:rsidP="004E3103">
            <w:pPr>
              <w:spacing w:after="0" w:line="240" w:lineRule="auto"/>
              <w:rPr>
                <w:lang w:eastAsia="en-GB"/>
              </w:rPr>
            </w:pPr>
          </w:p>
        </w:tc>
        <w:tc>
          <w:tcPr>
            <w:tcW w:w="1893" w:type="dxa"/>
            <w:tcBorders>
              <w:left w:val="single" w:sz="4" w:space="0" w:color="3C3C3C"/>
            </w:tcBorders>
            <w:shd w:val="clear" w:color="auto" w:fill="auto"/>
            <w:noWrap/>
            <w:vAlign w:val="bottom"/>
            <w:hideMark/>
          </w:tcPr>
          <w:p w14:paraId="11A06B27" w14:textId="77777777" w:rsidR="004E3103" w:rsidRPr="002B2821" w:rsidRDefault="004E3103" w:rsidP="000E7AE0">
            <w:pPr>
              <w:spacing w:after="0" w:line="240" w:lineRule="auto"/>
              <w:jc w:val="right"/>
              <w:rPr>
                <w:lang w:eastAsia="en-GB"/>
              </w:rPr>
            </w:pPr>
          </w:p>
        </w:tc>
        <w:tc>
          <w:tcPr>
            <w:tcW w:w="942" w:type="dxa"/>
            <w:tcBorders>
              <w:right w:val="single" w:sz="4" w:space="0" w:color="3C3C3C"/>
            </w:tcBorders>
            <w:shd w:val="clear" w:color="auto" w:fill="auto"/>
            <w:noWrap/>
            <w:vAlign w:val="bottom"/>
            <w:hideMark/>
          </w:tcPr>
          <w:p w14:paraId="523B7967" w14:textId="77777777" w:rsidR="004E3103" w:rsidRPr="002B2821" w:rsidRDefault="004E3103" w:rsidP="000E7AE0">
            <w:pPr>
              <w:spacing w:after="0" w:line="240" w:lineRule="auto"/>
              <w:jc w:val="right"/>
              <w:rPr>
                <w:lang w:eastAsia="en-GB"/>
              </w:rPr>
            </w:pPr>
          </w:p>
        </w:tc>
        <w:tc>
          <w:tcPr>
            <w:tcW w:w="1240" w:type="dxa"/>
            <w:tcBorders>
              <w:left w:val="single" w:sz="4" w:space="0" w:color="3C3C3C"/>
            </w:tcBorders>
            <w:shd w:val="clear" w:color="auto" w:fill="auto"/>
            <w:noWrap/>
            <w:vAlign w:val="bottom"/>
            <w:hideMark/>
          </w:tcPr>
          <w:p w14:paraId="4EAD5423" w14:textId="77777777" w:rsidR="004E3103" w:rsidRPr="002B2821" w:rsidRDefault="004E3103" w:rsidP="000E7AE0">
            <w:pPr>
              <w:spacing w:after="0" w:line="240" w:lineRule="auto"/>
              <w:jc w:val="right"/>
              <w:rPr>
                <w:lang w:eastAsia="en-GB"/>
              </w:rPr>
            </w:pPr>
          </w:p>
        </w:tc>
        <w:tc>
          <w:tcPr>
            <w:tcW w:w="1120" w:type="dxa"/>
            <w:shd w:val="clear" w:color="auto" w:fill="auto"/>
            <w:noWrap/>
            <w:vAlign w:val="bottom"/>
            <w:hideMark/>
          </w:tcPr>
          <w:p w14:paraId="6A8195E2" w14:textId="77777777" w:rsidR="004E3103" w:rsidRPr="002B2821" w:rsidRDefault="004E3103" w:rsidP="000E7AE0">
            <w:pPr>
              <w:spacing w:after="0" w:line="240" w:lineRule="auto"/>
              <w:jc w:val="right"/>
              <w:rPr>
                <w:lang w:eastAsia="en-GB"/>
              </w:rPr>
            </w:pPr>
          </w:p>
        </w:tc>
        <w:tc>
          <w:tcPr>
            <w:tcW w:w="222" w:type="dxa"/>
            <w:shd w:val="clear" w:color="auto" w:fill="auto"/>
            <w:noWrap/>
            <w:vAlign w:val="bottom"/>
            <w:hideMark/>
          </w:tcPr>
          <w:p w14:paraId="085FF0C6" w14:textId="77777777" w:rsidR="004E3103" w:rsidRPr="002B2821" w:rsidRDefault="004E3103" w:rsidP="004E3103">
            <w:pPr>
              <w:spacing w:after="0" w:line="240" w:lineRule="auto"/>
              <w:rPr>
                <w:lang w:eastAsia="en-GB"/>
              </w:rPr>
            </w:pPr>
          </w:p>
        </w:tc>
      </w:tr>
      <w:tr w:rsidR="004E3103" w:rsidRPr="002B2821" w14:paraId="6F8BFFB3" w14:textId="77777777" w:rsidTr="000E7AE0">
        <w:trPr>
          <w:trHeight w:val="255"/>
        </w:trPr>
        <w:tc>
          <w:tcPr>
            <w:tcW w:w="3352" w:type="dxa"/>
            <w:gridSpan w:val="2"/>
            <w:tcBorders>
              <w:right w:val="single" w:sz="4" w:space="0" w:color="3C3C3C"/>
            </w:tcBorders>
            <w:shd w:val="clear" w:color="auto" w:fill="auto"/>
            <w:noWrap/>
            <w:vAlign w:val="bottom"/>
            <w:hideMark/>
          </w:tcPr>
          <w:p w14:paraId="51546A9D" w14:textId="77777777" w:rsidR="00106716" w:rsidRDefault="004E3103" w:rsidP="00124F97">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 xml:space="preserve">Adjustment for net </w:t>
            </w:r>
            <w:r w:rsidR="00124F97" w:rsidRPr="002B2821">
              <w:rPr>
                <w:rFonts w:ascii="Calibri" w:hAnsi="Calibri" w:cs="Arial"/>
                <w:color w:val="000000"/>
                <w:sz w:val="22"/>
                <w:szCs w:val="22"/>
                <w:lang w:eastAsia="en-GB"/>
              </w:rPr>
              <w:t>(decrease)</w:t>
            </w:r>
            <w:r w:rsidR="00106716" w:rsidRPr="002B2821">
              <w:rPr>
                <w:rFonts w:ascii="Calibri" w:hAnsi="Calibri" w:cs="Arial"/>
                <w:color w:val="000000"/>
                <w:sz w:val="22"/>
                <w:szCs w:val="22"/>
                <w:lang w:eastAsia="en-GB"/>
              </w:rPr>
              <w:t xml:space="preserve"> in beneficiary memorandum accounts</w:t>
            </w:r>
          </w:p>
          <w:p w14:paraId="38865854" w14:textId="0D52E62F" w:rsidR="004E3103" w:rsidRPr="002B2821" w:rsidRDefault="00CA08E9" w:rsidP="00124F97">
            <w:pPr>
              <w:spacing w:after="0" w:line="240" w:lineRule="auto"/>
              <w:rPr>
                <w:rFonts w:ascii="Calibri" w:hAnsi="Calibri" w:cs="Arial"/>
                <w:color w:val="000000"/>
                <w:sz w:val="22"/>
                <w:szCs w:val="22"/>
                <w:lang w:eastAsia="en-GB"/>
              </w:rPr>
            </w:pPr>
            <w:r>
              <w:rPr>
                <w:rFonts w:ascii="Calibri" w:hAnsi="Calibri" w:cs="Arial"/>
                <w:color w:val="000000"/>
                <w:sz w:val="22"/>
                <w:szCs w:val="22"/>
                <w:lang w:eastAsia="en-GB"/>
              </w:rPr>
              <w:t>(N</w:t>
            </w:r>
            <w:r w:rsidR="00106716" w:rsidRPr="002B2821">
              <w:rPr>
                <w:rFonts w:ascii="Calibri" w:hAnsi="Calibri" w:cs="Arial"/>
                <w:color w:val="000000"/>
                <w:sz w:val="22"/>
                <w:szCs w:val="22"/>
                <w:lang w:eastAsia="en-GB"/>
              </w:rPr>
              <w:t>ote 11)</w:t>
            </w:r>
          </w:p>
        </w:tc>
        <w:tc>
          <w:tcPr>
            <w:tcW w:w="1893" w:type="dxa"/>
            <w:tcBorders>
              <w:left w:val="single" w:sz="4" w:space="0" w:color="3C3C3C"/>
            </w:tcBorders>
            <w:shd w:val="clear" w:color="auto" w:fill="auto"/>
            <w:noWrap/>
            <w:vAlign w:val="bottom"/>
            <w:hideMark/>
          </w:tcPr>
          <w:p w14:paraId="14F760CA" w14:textId="77777777" w:rsidR="004E3103" w:rsidRPr="002B2821" w:rsidRDefault="004E3103" w:rsidP="005808D4">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(2,184)</w:t>
            </w:r>
          </w:p>
        </w:tc>
        <w:tc>
          <w:tcPr>
            <w:tcW w:w="942" w:type="dxa"/>
            <w:tcBorders>
              <w:right w:val="single" w:sz="4" w:space="0" w:color="3C3C3C"/>
            </w:tcBorders>
            <w:shd w:val="clear" w:color="auto" w:fill="auto"/>
            <w:noWrap/>
            <w:vAlign w:val="bottom"/>
            <w:hideMark/>
          </w:tcPr>
          <w:p w14:paraId="7148E9CA" w14:textId="77777777" w:rsidR="004E3103" w:rsidRPr="002B2821" w:rsidRDefault="004E3103" w:rsidP="009C62EF">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2,184</w:t>
            </w:r>
          </w:p>
        </w:tc>
        <w:tc>
          <w:tcPr>
            <w:tcW w:w="1240" w:type="dxa"/>
            <w:tcBorders>
              <w:left w:val="single" w:sz="4" w:space="0" w:color="3C3C3C"/>
            </w:tcBorders>
            <w:shd w:val="clear" w:color="auto" w:fill="auto"/>
            <w:noWrap/>
            <w:vAlign w:val="bottom"/>
            <w:hideMark/>
          </w:tcPr>
          <w:p w14:paraId="153DE45E" w14:textId="77777777" w:rsidR="004E3103" w:rsidRPr="002B2821" w:rsidRDefault="004E3103" w:rsidP="0065093C">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026EB8E7" w14:textId="2AFF54B8" w:rsidR="004E3103" w:rsidRPr="002B2821" w:rsidRDefault="000E1077" w:rsidP="00DD7A47">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w:t>
            </w:r>
          </w:p>
        </w:tc>
        <w:tc>
          <w:tcPr>
            <w:tcW w:w="222" w:type="dxa"/>
            <w:shd w:val="clear" w:color="auto" w:fill="auto"/>
            <w:noWrap/>
            <w:vAlign w:val="bottom"/>
            <w:hideMark/>
          </w:tcPr>
          <w:p w14:paraId="6CB825B8"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40200BBE" w14:textId="77777777" w:rsidTr="000E7AE0">
        <w:trPr>
          <w:trHeight w:val="255"/>
        </w:trPr>
        <w:tc>
          <w:tcPr>
            <w:tcW w:w="2156" w:type="dxa"/>
            <w:shd w:val="clear" w:color="auto" w:fill="auto"/>
            <w:noWrap/>
            <w:vAlign w:val="bottom"/>
            <w:hideMark/>
          </w:tcPr>
          <w:p w14:paraId="0867BB2E" w14:textId="6EBFCA88" w:rsidR="004E3103" w:rsidRPr="002B2821" w:rsidRDefault="004E3103" w:rsidP="000E7AE0">
            <w:pPr>
              <w:spacing w:after="0" w:line="240" w:lineRule="auto"/>
              <w:jc w:val="right"/>
              <w:rPr>
                <w:rFonts w:ascii="Calibri" w:hAnsi="Calibri" w:cs="Arial"/>
                <w:color w:val="000000"/>
                <w:sz w:val="22"/>
                <w:szCs w:val="22"/>
                <w:lang w:eastAsia="en-GB"/>
              </w:rPr>
            </w:pPr>
          </w:p>
        </w:tc>
        <w:tc>
          <w:tcPr>
            <w:tcW w:w="1196" w:type="dxa"/>
            <w:tcBorders>
              <w:right w:val="single" w:sz="4" w:space="0" w:color="3C3C3C"/>
            </w:tcBorders>
            <w:shd w:val="clear" w:color="auto" w:fill="auto"/>
            <w:noWrap/>
            <w:vAlign w:val="bottom"/>
            <w:hideMark/>
          </w:tcPr>
          <w:p w14:paraId="0E847F66" w14:textId="77777777" w:rsidR="004E3103" w:rsidRPr="002B2821" w:rsidRDefault="004E3103" w:rsidP="004E3103">
            <w:pPr>
              <w:spacing w:after="0" w:line="240" w:lineRule="auto"/>
              <w:rPr>
                <w:rFonts w:ascii="Calibri" w:hAnsi="Calibri" w:cs="Arial"/>
                <w:color w:val="000000"/>
                <w:sz w:val="22"/>
                <w:szCs w:val="22"/>
                <w:lang w:eastAsia="en-GB"/>
              </w:rPr>
            </w:pPr>
          </w:p>
        </w:tc>
        <w:tc>
          <w:tcPr>
            <w:tcW w:w="1893" w:type="dxa"/>
            <w:tcBorders>
              <w:left w:val="single" w:sz="4" w:space="0" w:color="3C3C3C"/>
              <w:bottom w:val="single" w:sz="4" w:space="0" w:color="3C3C3C"/>
            </w:tcBorders>
            <w:shd w:val="clear" w:color="auto" w:fill="auto"/>
            <w:noWrap/>
            <w:vAlign w:val="bottom"/>
            <w:hideMark/>
          </w:tcPr>
          <w:p w14:paraId="0C181B90" w14:textId="77777777" w:rsidR="004E3103" w:rsidRPr="002B2821" w:rsidRDefault="004E3103" w:rsidP="000E7AE0">
            <w:pPr>
              <w:spacing w:after="0" w:line="240" w:lineRule="auto"/>
              <w:jc w:val="right"/>
              <w:rPr>
                <w:lang w:eastAsia="en-GB"/>
              </w:rPr>
            </w:pPr>
          </w:p>
        </w:tc>
        <w:tc>
          <w:tcPr>
            <w:tcW w:w="942" w:type="dxa"/>
            <w:tcBorders>
              <w:bottom w:val="single" w:sz="4" w:space="0" w:color="3C3C3C"/>
              <w:right w:val="single" w:sz="4" w:space="0" w:color="3C3C3C"/>
            </w:tcBorders>
            <w:shd w:val="clear" w:color="auto" w:fill="auto"/>
            <w:noWrap/>
            <w:vAlign w:val="bottom"/>
            <w:hideMark/>
          </w:tcPr>
          <w:p w14:paraId="13E61CEF" w14:textId="77777777" w:rsidR="004E3103" w:rsidRPr="002B2821" w:rsidRDefault="004E3103" w:rsidP="000E7AE0">
            <w:pPr>
              <w:spacing w:after="0" w:line="240" w:lineRule="auto"/>
              <w:jc w:val="right"/>
              <w:rPr>
                <w:lang w:eastAsia="en-GB"/>
              </w:rPr>
            </w:pPr>
          </w:p>
        </w:tc>
        <w:tc>
          <w:tcPr>
            <w:tcW w:w="1240" w:type="dxa"/>
            <w:tcBorders>
              <w:left w:val="single" w:sz="4" w:space="0" w:color="3C3C3C"/>
              <w:bottom w:val="single" w:sz="4" w:space="0" w:color="3C3C3C"/>
            </w:tcBorders>
            <w:shd w:val="clear" w:color="auto" w:fill="auto"/>
            <w:noWrap/>
            <w:vAlign w:val="bottom"/>
            <w:hideMark/>
          </w:tcPr>
          <w:p w14:paraId="7DF0CA72" w14:textId="77777777" w:rsidR="004E3103" w:rsidRPr="002B2821" w:rsidRDefault="004E3103" w:rsidP="000E7AE0">
            <w:pPr>
              <w:spacing w:after="0" w:line="240" w:lineRule="auto"/>
              <w:jc w:val="right"/>
              <w:rPr>
                <w:lang w:eastAsia="en-GB"/>
              </w:rPr>
            </w:pPr>
          </w:p>
        </w:tc>
        <w:tc>
          <w:tcPr>
            <w:tcW w:w="1120" w:type="dxa"/>
            <w:tcBorders>
              <w:bottom w:val="single" w:sz="4" w:space="0" w:color="3C3C3C"/>
            </w:tcBorders>
            <w:shd w:val="clear" w:color="auto" w:fill="auto"/>
            <w:noWrap/>
            <w:vAlign w:val="bottom"/>
            <w:hideMark/>
          </w:tcPr>
          <w:p w14:paraId="19937E83" w14:textId="77777777" w:rsidR="004E3103" w:rsidRPr="002B2821" w:rsidRDefault="004E3103" w:rsidP="000E7AE0">
            <w:pPr>
              <w:spacing w:after="0" w:line="240" w:lineRule="auto"/>
              <w:jc w:val="right"/>
              <w:rPr>
                <w:lang w:eastAsia="en-GB"/>
              </w:rPr>
            </w:pPr>
          </w:p>
        </w:tc>
        <w:tc>
          <w:tcPr>
            <w:tcW w:w="222" w:type="dxa"/>
            <w:shd w:val="clear" w:color="auto" w:fill="auto"/>
            <w:noWrap/>
            <w:vAlign w:val="bottom"/>
            <w:hideMark/>
          </w:tcPr>
          <w:p w14:paraId="4A692E3F" w14:textId="77777777" w:rsidR="004E3103" w:rsidRPr="002B2821" w:rsidRDefault="004E3103" w:rsidP="004E3103">
            <w:pPr>
              <w:spacing w:after="0" w:line="240" w:lineRule="auto"/>
              <w:rPr>
                <w:lang w:eastAsia="en-GB"/>
              </w:rPr>
            </w:pPr>
          </w:p>
        </w:tc>
      </w:tr>
      <w:tr w:rsidR="004E3103" w:rsidRPr="002B2821" w14:paraId="72B917A4" w14:textId="77777777" w:rsidTr="000E7AE0">
        <w:trPr>
          <w:trHeight w:val="255"/>
        </w:trPr>
        <w:tc>
          <w:tcPr>
            <w:tcW w:w="3352" w:type="dxa"/>
            <w:gridSpan w:val="2"/>
            <w:tcBorders>
              <w:right w:val="single" w:sz="4" w:space="0" w:color="3C3C3C"/>
            </w:tcBorders>
            <w:shd w:val="clear" w:color="auto" w:fill="auto"/>
            <w:noWrap/>
            <w:vAlign w:val="bottom"/>
            <w:hideMark/>
          </w:tcPr>
          <w:p w14:paraId="12E18962" w14:textId="24CADF49" w:rsidR="004E3103" w:rsidRPr="002B2821" w:rsidRDefault="004E3103" w:rsidP="005D5AEC">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Balance as at 30 September 201</w:t>
            </w:r>
            <w:r w:rsidR="005D5AEC" w:rsidRPr="002B2821">
              <w:rPr>
                <w:rFonts w:ascii="Calibri" w:hAnsi="Calibri" w:cs="Arial"/>
                <w:b/>
                <w:bCs/>
                <w:color w:val="000000"/>
                <w:sz w:val="22"/>
                <w:szCs w:val="22"/>
                <w:lang w:eastAsia="en-GB"/>
              </w:rPr>
              <w:t>8</w:t>
            </w:r>
          </w:p>
        </w:tc>
        <w:tc>
          <w:tcPr>
            <w:tcW w:w="1893" w:type="dxa"/>
            <w:tcBorders>
              <w:top w:val="single" w:sz="4" w:space="0" w:color="3C3C3C"/>
              <w:left w:val="single" w:sz="4" w:space="0" w:color="3C3C3C"/>
              <w:bottom w:val="single" w:sz="4" w:space="0" w:color="3C3C3C"/>
            </w:tcBorders>
            <w:shd w:val="clear" w:color="auto" w:fill="auto"/>
            <w:noWrap/>
            <w:vAlign w:val="bottom"/>
            <w:hideMark/>
          </w:tcPr>
          <w:p w14:paraId="71604107" w14:textId="77777777" w:rsidR="004E3103" w:rsidRPr="002B2821" w:rsidRDefault="004E3103" w:rsidP="005808D4">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6,681</w:t>
            </w:r>
          </w:p>
        </w:tc>
        <w:tc>
          <w:tcPr>
            <w:tcW w:w="942" w:type="dxa"/>
            <w:tcBorders>
              <w:top w:val="single" w:sz="4" w:space="0" w:color="3C3C3C"/>
              <w:bottom w:val="single" w:sz="4" w:space="0" w:color="3C3C3C"/>
              <w:right w:val="single" w:sz="4" w:space="0" w:color="3C3C3C"/>
            </w:tcBorders>
            <w:shd w:val="clear" w:color="auto" w:fill="auto"/>
            <w:noWrap/>
            <w:vAlign w:val="bottom"/>
            <w:hideMark/>
          </w:tcPr>
          <w:p w14:paraId="14AB8DE0" w14:textId="77777777" w:rsidR="004E3103" w:rsidRPr="002B2821" w:rsidRDefault="004E3103" w:rsidP="009C62EF">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157,746</w:t>
            </w:r>
          </w:p>
        </w:tc>
        <w:tc>
          <w:tcPr>
            <w:tcW w:w="1240" w:type="dxa"/>
            <w:tcBorders>
              <w:top w:val="single" w:sz="4" w:space="0" w:color="3C3C3C"/>
              <w:left w:val="single" w:sz="4" w:space="0" w:color="3C3C3C"/>
              <w:bottom w:val="single" w:sz="4" w:space="0" w:color="3C3C3C"/>
            </w:tcBorders>
            <w:shd w:val="clear" w:color="auto" w:fill="auto"/>
            <w:noWrap/>
            <w:vAlign w:val="bottom"/>
            <w:hideMark/>
          </w:tcPr>
          <w:p w14:paraId="146E863F" w14:textId="77777777" w:rsidR="004E3103" w:rsidRPr="002B2821" w:rsidRDefault="004E3103" w:rsidP="0065093C">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(436)</w:t>
            </w:r>
          </w:p>
        </w:tc>
        <w:tc>
          <w:tcPr>
            <w:tcW w:w="1120" w:type="dxa"/>
            <w:tcBorders>
              <w:top w:val="single" w:sz="4" w:space="0" w:color="3C3C3C"/>
              <w:bottom w:val="single" w:sz="4" w:space="0" w:color="3C3C3C"/>
            </w:tcBorders>
            <w:shd w:val="clear" w:color="auto" w:fill="auto"/>
            <w:noWrap/>
            <w:vAlign w:val="bottom"/>
            <w:hideMark/>
          </w:tcPr>
          <w:p w14:paraId="6F20D761" w14:textId="77777777" w:rsidR="004E3103" w:rsidRPr="002B2821" w:rsidRDefault="004E3103" w:rsidP="00DD7A47">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163,991</w:t>
            </w:r>
          </w:p>
        </w:tc>
        <w:tc>
          <w:tcPr>
            <w:tcW w:w="222" w:type="dxa"/>
            <w:shd w:val="clear" w:color="auto" w:fill="auto"/>
            <w:noWrap/>
            <w:vAlign w:val="bottom"/>
            <w:hideMark/>
          </w:tcPr>
          <w:p w14:paraId="59F3A2CA" w14:textId="77777777" w:rsidR="004E3103" w:rsidRPr="002B2821" w:rsidRDefault="004E3103" w:rsidP="004E3103">
            <w:pPr>
              <w:spacing w:after="0" w:line="240" w:lineRule="auto"/>
              <w:jc w:val="right"/>
              <w:rPr>
                <w:rFonts w:ascii="Calibri" w:hAnsi="Calibri" w:cs="Arial"/>
                <w:b/>
                <w:bCs/>
                <w:color w:val="000000"/>
                <w:sz w:val="22"/>
                <w:szCs w:val="22"/>
                <w:lang w:eastAsia="en-GB"/>
              </w:rPr>
            </w:pPr>
          </w:p>
        </w:tc>
      </w:tr>
      <w:tr w:rsidR="004E3103" w:rsidRPr="002B2821" w14:paraId="630EB9ED" w14:textId="77777777" w:rsidTr="000E7AE0">
        <w:trPr>
          <w:trHeight w:val="255"/>
        </w:trPr>
        <w:tc>
          <w:tcPr>
            <w:tcW w:w="2156" w:type="dxa"/>
            <w:shd w:val="clear" w:color="auto" w:fill="auto"/>
            <w:noWrap/>
            <w:vAlign w:val="bottom"/>
            <w:hideMark/>
          </w:tcPr>
          <w:p w14:paraId="41CCDCDF" w14:textId="77777777" w:rsidR="004E3103" w:rsidRPr="002B2821" w:rsidRDefault="004E3103" w:rsidP="004E3103">
            <w:pPr>
              <w:spacing w:after="0" w:line="240" w:lineRule="auto"/>
              <w:rPr>
                <w:lang w:eastAsia="en-GB"/>
              </w:rPr>
            </w:pPr>
          </w:p>
        </w:tc>
        <w:tc>
          <w:tcPr>
            <w:tcW w:w="1196" w:type="dxa"/>
            <w:shd w:val="clear" w:color="auto" w:fill="auto"/>
            <w:noWrap/>
            <w:vAlign w:val="bottom"/>
            <w:hideMark/>
          </w:tcPr>
          <w:p w14:paraId="6B423F3C" w14:textId="77777777" w:rsidR="004E3103" w:rsidRPr="002B2821" w:rsidRDefault="004E3103" w:rsidP="004E3103">
            <w:pPr>
              <w:spacing w:after="0" w:line="240" w:lineRule="auto"/>
              <w:rPr>
                <w:lang w:eastAsia="en-GB"/>
              </w:rPr>
            </w:pPr>
          </w:p>
        </w:tc>
        <w:tc>
          <w:tcPr>
            <w:tcW w:w="1893" w:type="dxa"/>
            <w:tcBorders>
              <w:top w:val="single" w:sz="4" w:space="0" w:color="3C3C3C"/>
            </w:tcBorders>
            <w:shd w:val="clear" w:color="auto" w:fill="auto"/>
            <w:noWrap/>
            <w:vAlign w:val="bottom"/>
            <w:hideMark/>
          </w:tcPr>
          <w:p w14:paraId="6780D409" w14:textId="263E059F" w:rsidR="004E3103" w:rsidRPr="002B2821" w:rsidRDefault="00393353" w:rsidP="004E3103">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n</w:t>
            </w:r>
            <w:r w:rsidR="004E3103" w:rsidRPr="002B2821">
              <w:rPr>
                <w:rFonts w:ascii="Calibri" w:hAnsi="Calibri" w:cs="Arial"/>
                <w:color w:val="000000"/>
                <w:sz w:val="22"/>
                <w:szCs w:val="22"/>
                <w:lang w:eastAsia="en-GB"/>
              </w:rPr>
              <w:t>ote 11</w:t>
            </w:r>
          </w:p>
        </w:tc>
        <w:tc>
          <w:tcPr>
            <w:tcW w:w="942" w:type="dxa"/>
            <w:tcBorders>
              <w:top w:val="single" w:sz="4" w:space="0" w:color="3C3C3C"/>
            </w:tcBorders>
            <w:shd w:val="clear" w:color="auto" w:fill="auto"/>
            <w:noWrap/>
            <w:vAlign w:val="bottom"/>
            <w:hideMark/>
          </w:tcPr>
          <w:p w14:paraId="54534532" w14:textId="77777777" w:rsidR="004E3103" w:rsidRPr="002B2821" w:rsidRDefault="004E3103" w:rsidP="004E3103">
            <w:pPr>
              <w:spacing w:after="0" w:line="240" w:lineRule="auto"/>
              <w:jc w:val="right"/>
              <w:rPr>
                <w:rFonts w:ascii="Calibri" w:hAnsi="Calibri" w:cs="Arial"/>
                <w:color w:val="000000"/>
                <w:sz w:val="22"/>
                <w:szCs w:val="22"/>
                <w:lang w:eastAsia="en-GB"/>
              </w:rPr>
            </w:pPr>
          </w:p>
        </w:tc>
        <w:tc>
          <w:tcPr>
            <w:tcW w:w="1240" w:type="dxa"/>
            <w:tcBorders>
              <w:top w:val="single" w:sz="4" w:space="0" w:color="3C3C3C"/>
            </w:tcBorders>
            <w:shd w:val="clear" w:color="auto" w:fill="auto"/>
            <w:noWrap/>
            <w:vAlign w:val="bottom"/>
            <w:hideMark/>
          </w:tcPr>
          <w:p w14:paraId="19926688" w14:textId="77777777" w:rsidR="004E3103" w:rsidRPr="002B2821" w:rsidRDefault="004E3103" w:rsidP="004E3103">
            <w:pPr>
              <w:spacing w:after="0" w:line="240" w:lineRule="auto"/>
              <w:rPr>
                <w:lang w:eastAsia="en-GB"/>
              </w:rPr>
            </w:pPr>
          </w:p>
        </w:tc>
        <w:tc>
          <w:tcPr>
            <w:tcW w:w="1120" w:type="dxa"/>
            <w:tcBorders>
              <w:top w:val="single" w:sz="4" w:space="0" w:color="3C3C3C"/>
            </w:tcBorders>
            <w:shd w:val="clear" w:color="auto" w:fill="auto"/>
            <w:noWrap/>
            <w:vAlign w:val="bottom"/>
            <w:hideMark/>
          </w:tcPr>
          <w:p w14:paraId="2074414E"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26FA1545" w14:textId="77777777" w:rsidR="004E3103" w:rsidRPr="002B2821" w:rsidRDefault="004E3103" w:rsidP="004E3103">
            <w:pPr>
              <w:spacing w:after="0" w:line="240" w:lineRule="auto"/>
              <w:rPr>
                <w:lang w:eastAsia="en-GB"/>
              </w:rPr>
            </w:pPr>
          </w:p>
        </w:tc>
      </w:tr>
    </w:tbl>
    <w:p w14:paraId="7739A2FD" w14:textId="41D01C5B" w:rsidR="00D45B11" w:rsidRPr="002B2821" w:rsidRDefault="00D45B11" w:rsidP="00E540A0">
      <w:pPr>
        <w:pStyle w:val="BodyText"/>
        <w:spacing w:after="180" w:line="240" w:lineRule="auto"/>
        <w:rPr>
          <w:rFonts w:asciiTheme="minorHAnsi" w:hAnsiTheme="minorHAnsi" w:cs="Arial"/>
          <w:b/>
          <w:bCs/>
          <w:color w:val="442359"/>
          <w:sz w:val="24"/>
          <w:szCs w:val="24"/>
        </w:rPr>
      </w:pPr>
    </w:p>
    <w:tbl>
      <w:tblPr>
        <w:tblW w:w="8638" w:type="dxa"/>
        <w:tblLook w:val="04A0" w:firstRow="1" w:lastRow="0" w:firstColumn="1" w:lastColumn="0" w:noHBand="0" w:noVBand="1"/>
      </w:tblPr>
      <w:tblGrid>
        <w:gridCol w:w="2148"/>
        <w:gridCol w:w="1188"/>
        <w:gridCol w:w="1738"/>
        <w:gridCol w:w="982"/>
        <w:gridCol w:w="1240"/>
        <w:gridCol w:w="1120"/>
        <w:gridCol w:w="222"/>
      </w:tblGrid>
      <w:tr w:rsidR="004E3103" w:rsidRPr="002B2821" w14:paraId="0648E7A4" w14:textId="77777777" w:rsidTr="000E7AE0">
        <w:trPr>
          <w:trHeight w:val="255"/>
        </w:trPr>
        <w:tc>
          <w:tcPr>
            <w:tcW w:w="2148" w:type="dxa"/>
            <w:tcBorders>
              <w:top w:val="nil"/>
              <w:left w:val="nil"/>
              <w:bottom w:val="nil"/>
              <w:right w:val="nil"/>
            </w:tcBorders>
            <w:shd w:val="clear" w:color="auto" w:fill="auto"/>
            <w:noWrap/>
            <w:vAlign w:val="bottom"/>
            <w:hideMark/>
          </w:tcPr>
          <w:p w14:paraId="0789A2EA" w14:textId="77777777" w:rsidR="004E3103" w:rsidRPr="002B2821" w:rsidRDefault="004E3103" w:rsidP="004E3103">
            <w:pPr>
              <w:spacing w:after="0" w:line="240" w:lineRule="auto"/>
              <w:rPr>
                <w:sz w:val="24"/>
                <w:szCs w:val="24"/>
                <w:lang w:eastAsia="en-GB"/>
              </w:rPr>
            </w:pPr>
          </w:p>
        </w:tc>
        <w:tc>
          <w:tcPr>
            <w:tcW w:w="1188" w:type="dxa"/>
            <w:tcBorders>
              <w:top w:val="nil"/>
              <w:left w:val="nil"/>
              <w:bottom w:val="nil"/>
              <w:right w:val="single" w:sz="4" w:space="0" w:color="3C3C3C"/>
            </w:tcBorders>
            <w:shd w:val="clear" w:color="auto" w:fill="auto"/>
            <w:noWrap/>
            <w:vAlign w:val="bottom"/>
            <w:hideMark/>
          </w:tcPr>
          <w:p w14:paraId="463BA022" w14:textId="77777777" w:rsidR="004E3103" w:rsidRPr="002B2821" w:rsidRDefault="004E3103" w:rsidP="004E3103">
            <w:pPr>
              <w:spacing w:after="0" w:line="240" w:lineRule="auto"/>
              <w:rPr>
                <w:lang w:eastAsia="en-GB"/>
              </w:rPr>
            </w:pPr>
          </w:p>
        </w:tc>
        <w:tc>
          <w:tcPr>
            <w:tcW w:w="2720" w:type="dxa"/>
            <w:gridSpan w:val="2"/>
            <w:tcBorders>
              <w:top w:val="single" w:sz="4" w:space="0" w:color="3C3C3C"/>
              <w:left w:val="single" w:sz="4" w:space="0" w:color="3C3C3C"/>
              <w:right w:val="single" w:sz="4" w:space="0" w:color="3C3C3C"/>
            </w:tcBorders>
            <w:shd w:val="clear" w:color="auto" w:fill="auto"/>
            <w:noWrap/>
            <w:vAlign w:val="center"/>
            <w:hideMark/>
          </w:tcPr>
          <w:p w14:paraId="787B09DF" w14:textId="77777777" w:rsidR="004E3103" w:rsidRPr="000E7AE0" w:rsidRDefault="004E3103" w:rsidP="004E3103">
            <w:pPr>
              <w:spacing w:after="0" w:line="240" w:lineRule="auto"/>
              <w:jc w:val="center"/>
              <w:rPr>
                <w:rFonts w:ascii="Calibri" w:hAnsi="Calibri" w:cs="Arial"/>
                <w:b/>
                <w:bCs/>
                <w:color w:val="333399"/>
                <w:sz w:val="24"/>
                <w:szCs w:val="22"/>
                <w:lang w:eastAsia="en-GB"/>
              </w:rPr>
            </w:pPr>
            <w:r w:rsidRPr="000E7AE0">
              <w:rPr>
                <w:rFonts w:ascii="Calibri" w:hAnsi="Calibri" w:cs="Arial"/>
                <w:b/>
                <w:bCs/>
                <w:color w:val="333399"/>
                <w:sz w:val="24"/>
                <w:szCs w:val="22"/>
                <w:lang w:eastAsia="en-GB"/>
              </w:rPr>
              <w:t>Unrestricted funds</w:t>
            </w:r>
          </w:p>
        </w:tc>
        <w:tc>
          <w:tcPr>
            <w:tcW w:w="1240" w:type="dxa"/>
            <w:tcBorders>
              <w:top w:val="nil"/>
              <w:left w:val="single" w:sz="4" w:space="0" w:color="3C3C3C"/>
              <w:bottom w:val="nil"/>
              <w:right w:val="nil"/>
            </w:tcBorders>
            <w:shd w:val="clear" w:color="auto" w:fill="auto"/>
            <w:noWrap/>
            <w:vAlign w:val="bottom"/>
            <w:hideMark/>
          </w:tcPr>
          <w:p w14:paraId="2336A1D4" w14:textId="77777777" w:rsidR="004E3103" w:rsidRPr="002B2821" w:rsidRDefault="004E3103" w:rsidP="004E3103">
            <w:pPr>
              <w:spacing w:after="0" w:line="240" w:lineRule="auto"/>
              <w:jc w:val="center"/>
              <w:rPr>
                <w:rFonts w:ascii="Calibri" w:hAnsi="Calibri" w:cs="Arial"/>
                <w:b/>
                <w:bCs/>
                <w:color w:val="333399"/>
                <w:sz w:val="22"/>
                <w:szCs w:val="22"/>
                <w:lang w:eastAsia="en-GB"/>
              </w:rPr>
            </w:pPr>
          </w:p>
        </w:tc>
        <w:tc>
          <w:tcPr>
            <w:tcW w:w="1120" w:type="dxa"/>
            <w:tcBorders>
              <w:top w:val="nil"/>
              <w:left w:val="nil"/>
              <w:bottom w:val="nil"/>
              <w:right w:val="nil"/>
            </w:tcBorders>
            <w:shd w:val="clear" w:color="auto" w:fill="auto"/>
            <w:noWrap/>
            <w:vAlign w:val="bottom"/>
            <w:hideMark/>
          </w:tcPr>
          <w:p w14:paraId="01EB1890"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3319F7EC" w14:textId="77777777" w:rsidR="004E3103" w:rsidRPr="002B2821" w:rsidRDefault="004E3103" w:rsidP="004E3103">
            <w:pPr>
              <w:spacing w:after="0" w:line="240" w:lineRule="auto"/>
              <w:rPr>
                <w:lang w:eastAsia="en-GB"/>
              </w:rPr>
            </w:pPr>
          </w:p>
        </w:tc>
      </w:tr>
      <w:tr w:rsidR="004E3103" w:rsidRPr="002B2821" w14:paraId="2F83ABC9" w14:textId="77777777" w:rsidTr="000E7AE0">
        <w:trPr>
          <w:trHeight w:val="255"/>
        </w:trPr>
        <w:tc>
          <w:tcPr>
            <w:tcW w:w="2148" w:type="dxa"/>
            <w:tcBorders>
              <w:top w:val="nil"/>
              <w:left w:val="nil"/>
              <w:bottom w:val="nil"/>
              <w:right w:val="nil"/>
            </w:tcBorders>
            <w:shd w:val="clear" w:color="auto" w:fill="auto"/>
            <w:noWrap/>
            <w:vAlign w:val="bottom"/>
            <w:hideMark/>
          </w:tcPr>
          <w:p w14:paraId="35EB2CF6" w14:textId="77777777" w:rsidR="004E3103" w:rsidRPr="002B2821" w:rsidRDefault="004E3103" w:rsidP="004E3103">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1A289D8E" w14:textId="77777777" w:rsidR="004E3103" w:rsidRPr="002B2821" w:rsidRDefault="004E3103" w:rsidP="004E3103">
            <w:pPr>
              <w:spacing w:after="0" w:line="240" w:lineRule="auto"/>
              <w:rPr>
                <w:lang w:eastAsia="en-GB"/>
              </w:rPr>
            </w:pPr>
          </w:p>
        </w:tc>
        <w:tc>
          <w:tcPr>
            <w:tcW w:w="1738" w:type="dxa"/>
            <w:tcBorders>
              <w:left w:val="single" w:sz="4" w:space="0" w:color="3C3C3C"/>
              <w:bottom w:val="nil"/>
              <w:right w:val="nil"/>
            </w:tcBorders>
            <w:shd w:val="clear" w:color="auto" w:fill="auto"/>
            <w:noWrap/>
            <w:vAlign w:val="bottom"/>
            <w:hideMark/>
          </w:tcPr>
          <w:p w14:paraId="23310F4E" w14:textId="3A53601D" w:rsidR="004E3103" w:rsidRPr="002B2821" w:rsidRDefault="004E3103" w:rsidP="004E3103">
            <w:pPr>
              <w:spacing w:after="0" w:line="240" w:lineRule="auto"/>
              <w:jc w:val="right"/>
              <w:rPr>
                <w:rFonts w:ascii="Calibri" w:hAnsi="Calibri" w:cs="Arial"/>
                <w:b/>
                <w:bCs/>
                <w:color w:val="333399"/>
                <w:sz w:val="22"/>
                <w:szCs w:val="22"/>
                <w:lang w:eastAsia="en-GB"/>
              </w:rPr>
            </w:pPr>
          </w:p>
        </w:tc>
        <w:tc>
          <w:tcPr>
            <w:tcW w:w="982" w:type="dxa"/>
            <w:tcBorders>
              <w:left w:val="nil"/>
              <w:bottom w:val="nil"/>
              <w:right w:val="single" w:sz="4" w:space="0" w:color="3C3C3C"/>
            </w:tcBorders>
            <w:shd w:val="clear" w:color="auto" w:fill="auto"/>
            <w:noWrap/>
            <w:vAlign w:val="bottom"/>
            <w:hideMark/>
          </w:tcPr>
          <w:p w14:paraId="2C24D816"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c>
          <w:tcPr>
            <w:tcW w:w="1240" w:type="dxa"/>
            <w:tcBorders>
              <w:top w:val="nil"/>
              <w:left w:val="single" w:sz="4" w:space="0" w:color="3C3C3C"/>
              <w:bottom w:val="nil"/>
              <w:right w:val="nil"/>
            </w:tcBorders>
            <w:shd w:val="clear" w:color="auto" w:fill="auto"/>
            <w:noWrap/>
            <w:vAlign w:val="bottom"/>
            <w:hideMark/>
          </w:tcPr>
          <w:p w14:paraId="1C82990A" w14:textId="77777777" w:rsidR="004E3103" w:rsidRPr="002B2821" w:rsidRDefault="004E3103" w:rsidP="004E3103">
            <w:pPr>
              <w:spacing w:after="0" w:line="240" w:lineRule="auto"/>
              <w:jc w:val="right"/>
              <w:rPr>
                <w:lang w:eastAsia="en-GB"/>
              </w:rPr>
            </w:pPr>
          </w:p>
        </w:tc>
        <w:tc>
          <w:tcPr>
            <w:tcW w:w="1120" w:type="dxa"/>
            <w:tcBorders>
              <w:top w:val="nil"/>
              <w:left w:val="nil"/>
              <w:bottom w:val="nil"/>
              <w:right w:val="nil"/>
            </w:tcBorders>
            <w:shd w:val="clear" w:color="auto" w:fill="auto"/>
            <w:noWrap/>
            <w:vAlign w:val="bottom"/>
            <w:hideMark/>
          </w:tcPr>
          <w:p w14:paraId="5935CE54" w14:textId="77777777" w:rsidR="004E3103" w:rsidRPr="002B2821" w:rsidRDefault="004E3103" w:rsidP="004E3103">
            <w:pPr>
              <w:spacing w:after="0" w:line="240" w:lineRule="auto"/>
              <w:jc w:val="right"/>
              <w:rPr>
                <w:lang w:eastAsia="en-GB"/>
              </w:rPr>
            </w:pPr>
          </w:p>
        </w:tc>
        <w:tc>
          <w:tcPr>
            <w:tcW w:w="222" w:type="dxa"/>
            <w:tcBorders>
              <w:top w:val="nil"/>
              <w:left w:val="nil"/>
              <w:bottom w:val="nil"/>
              <w:right w:val="nil"/>
            </w:tcBorders>
            <w:shd w:val="clear" w:color="auto" w:fill="auto"/>
            <w:noWrap/>
            <w:vAlign w:val="bottom"/>
            <w:hideMark/>
          </w:tcPr>
          <w:p w14:paraId="0039411D" w14:textId="77777777" w:rsidR="004E3103" w:rsidRPr="002B2821" w:rsidRDefault="004E3103" w:rsidP="004E3103">
            <w:pPr>
              <w:spacing w:after="0" w:line="240" w:lineRule="auto"/>
              <w:jc w:val="right"/>
              <w:rPr>
                <w:lang w:eastAsia="en-GB"/>
              </w:rPr>
            </w:pPr>
          </w:p>
        </w:tc>
      </w:tr>
      <w:tr w:rsidR="0065093C" w:rsidRPr="002B2821" w14:paraId="611BC2DB" w14:textId="77777777" w:rsidTr="000E7AE0">
        <w:trPr>
          <w:trHeight w:val="255"/>
        </w:trPr>
        <w:tc>
          <w:tcPr>
            <w:tcW w:w="2148" w:type="dxa"/>
            <w:tcBorders>
              <w:top w:val="nil"/>
              <w:left w:val="nil"/>
              <w:bottom w:val="nil"/>
              <w:right w:val="nil"/>
            </w:tcBorders>
            <w:shd w:val="clear" w:color="auto" w:fill="auto"/>
            <w:noWrap/>
            <w:vAlign w:val="bottom"/>
            <w:hideMark/>
          </w:tcPr>
          <w:p w14:paraId="696204FA" w14:textId="77777777" w:rsidR="0065093C" w:rsidRPr="002B2821" w:rsidRDefault="0065093C" w:rsidP="0065093C">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7065D391" w14:textId="77777777" w:rsidR="0065093C" w:rsidRPr="002B2821" w:rsidRDefault="0065093C" w:rsidP="0065093C">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0D725F55" w14:textId="60DAE188"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982" w:type="dxa"/>
            <w:tcBorders>
              <w:top w:val="nil"/>
              <w:left w:val="nil"/>
              <w:bottom w:val="nil"/>
              <w:right w:val="single" w:sz="4" w:space="0" w:color="3C3C3C"/>
            </w:tcBorders>
            <w:shd w:val="clear" w:color="auto" w:fill="auto"/>
            <w:noWrap/>
            <w:vAlign w:val="bottom"/>
            <w:hideMark/>
          </w:tcPr>
          <w:p w14:paraId="77C00AE1"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General</w:t>
            </w:r>
          </w:p>
        </w:tc>
        <w:tc>
          <w:tcPr>
            <w:tcW w:w="1240" w:type="dxa"/>
            <w:tcBorders>
              <w:top w:val="nil"/>
              <w:left w:val="single" w:sz="4" w:space="0" w:color="3C3C3C"/>
              <w:bottom w:val="nil"/>
              <w:right w:val="nil"/>
            </w:tcBorders>
            <w:shd w:val="clear" w:color="auto" w:fill="auto"/>
            <w:noWrap/>
            <w:vAlign w:val="bottom"/>
            <w:hideMark/>
          </w:tcPr>
          <w:p w14:paraId="1D6E5320"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Restricted</w:t>
            </w:r>
          </w:p>
        </w:tc>
        <w:tc>
          <w:tcPr>
            <w:tcW w:w="1120" w:type="dxa"/>
            <w:tcBorders>
              <w:top w:val="nil"/>
              <w:left w:val="nil"/>
              <w:bottom w:val="nil"/>
              <w:right w:val="nil"/>
            </w:tcBorders>
            <w:shd w:val="clear" w:color="auto" w:fill="auto"/>
            <w:noWrap/>
            <w:vAlign w:val="bottom"/>
            <w:hideMark/>
          </w:tcPr>
          <w:p w14:paraId="2C77AFFE"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Total</w:t>
            </w:r>
          </w:p>
        </w:tc>
        <w:tc>
          <w:tcPr>
            <w:tcW w:w="222" w:type="dxa"/>
            <w:tcBorders>
              <w:top w:val="nil"/>
              <w:left w:val="nil"/>
              <w:bottom w:val="nil"/>
              <w:right w:val="nil"/>
            </w:tcBorders>
            <w:shd w:val="clear" w:color="auto" w:fill="auto"/>
            <w:noWrap/>
            <w:vAlign w:val="bottom"/>
            <w:hideMark/>
          </w:tcPr>
          <w:p w14:paraId="06A7740D"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65093C" w:rsidRPr="002B2821" w14:paraId="0E6BB5C5" w14:textId="77777777" w:rsidTr="000E7AE0">
        <w:trPr>
          <w:trHeight w:val="255"/>
        </w:trPr>
        <w:tc>
          <w:tcPr>
            <w:tcW w:w="2148" w:type="dxa"/>
            <w:tcBorders>
              <w:top w:val="nil"/>
              <w:left w:val="nil"/>
              <w:bottom w:val="nil"/>
              <w:right w:val="nil"/>
            </w:tcBorders>
            <w:shd w:val="clear" w:color="auto" w:fill="auto"/>
            <w:noWrap/>
            <w:vAlign w:val="bottom"/>
            <w:hideMark/>
          </w:tcPr>
          <w:p w14:paraId="010F24E1" w14:textId="77777777" w:rsidR="0065093C" w:rsidRPr="002B2821" w:rsidRDefault="0065093C" w:rsidP="0065093C">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3D066CA2" w14:textId="77777777" w:rsidR="0065093C" w:rsidRPr="002B2821" w:rsidRDefault="0065093C" w:rsidP="0065093C">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3A8252BA" w14:textId="6C9F63FB" w:rsidR="0065093C" w:rsidRPr="002B2821" w:rsidRDefault="0065093C" w:rsidP="0065093C">
            <w:pPr>
              <w:spacing w:after="0" w:line="240" w:lineRule="auto"/>
              <w:jc w:val="right"/>
              <w:rPr>
                <w:rFonts w:ascii="Calibri" w:hAnsi="Calibri" w:cs="Arial"/>
                <w:b/>
                <w:bCs/>
                <w:color w:val="333399"/>
                <w:sz w:val="22"/>
                <w:szCs w:val="22"/>
                <w:lang w:eastAsia="en-GB"/>
              </w:rPr>
            </w:pPr>
            <w:r>
              <w:rPr>
                <w:rFonts w:ascii="Calibri" w:hAnsi="Calibri" w:cs="Arial"/>
                <w:b/>
                <w:bCs/>
                <w:color w:val="333399"/>
                <w:sz w:val="22"/>
                <w:szCs w:val="22"/>
                <w:lang w:eastAsia="en-GB"/>
              </w:rPr>
              <w:t>m</w:t>
            </w:r>
            <w:r w:rsidRPr="0065093C">
              <w:rPr>
                <w:rFonts w:ascii="Calibri" w:hAnsi="Calibri" w:cs="Arial"/>
                <w:b/>
                <w:bCs/>
                <w:color w:val="333399"/>
                <w:sz w:val="22"/>
                <w:szCs w:val="22"/>
                <w:lang w:eastAsia="en-GB"/>
              </w:rPr>
              <w:t>emorandum</w:t>
            </w:r>
          </w:p>
        </w:tc>
        <w:tc>
          <w:tcPr>
            <w:tcW w:w="982" w:type="dxa"/>
            <w:tcBorders>
              <w:top w:val="nil"/>
              <w:left w:val="nil"/>
              <w:bottom w:val="nil"/>
              <w:right w:val="single" w:sz="4" w:space="0" w:color="3C3C3C"/>
            </w:tcBorders>
            <w:shd w:val="clear" w:color="auto" w:fill="auto"/>
            <w:noWrap/>
            <w:vAlign w:val="bottom"/>
            <w:hideMark/>
          </w:tcPr>
          <w:p w14:paraId="34AC80A3"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w:t>
            </w:r>
          </w:p>
        </w:tc>
        <w:tc>
          <w:tcPr>
            <w:tcW w:w="1240" w:type="dxa"/>
            <w:tcBorders>
              <w:top w:val="nil"/>
              <w:left w:val="single" w:sz="4" w:space="0" w:color="3C3C3C"/>
              <w:bottom w:val="nil"/>
              <w:right w:val="nil"/>
            </w:tcBorders>
            <w:shd w:val="clear" w:color="auto" w:fill="auto"/>
            <w:noWrap/>
            <w:vAlign w:val="bottom"/>
            <w:hideMark/>
          </w:tcPr>
          <w:p w14:paraId="58CFC99A"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1120" w:type="dxa"/>
            <w:tcBorders>
              <w:top w:val="nil"/>
              <w:left w:val="nil"/>
              <w:bottom w:val="nil"/>
              <w:right w:val="nil"/>
            </w:tcBorders>
            <w:shd w:val="clear" w:color="auto" w:fill="auto"/>
            <w:noWrap/>
            <w:vAlign w:val="bottom"/>
            <w:hideMark/>
          </w:tcPr>
          <w:p w14:paraId="3675F15D"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Trust</w:t>
            </w:r>
          </w:p>
        </w:tc>
        <w:tc>
          <w:tcPr>
            <w:tcW w:w="222" w:type="dxa"/>
            <w:tcBorders>
              <w:top w:val="nil"/>
              <w:left w:val="nil"/>
              <w:bottom w:val="nil"/>
              <w:right w:val="nil"/>
            </w:tcBorders>
            <w:shd w:val="clear" w:color="auto" w:fill="auto"/>
            <w:noWrap/>
            <w:vAlign w:val="bottom"/>
            <w:hideMark/>
          </w:tcPr>
          <w:p w14:paraId="65B93D26"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4E3103" w:rsidRPr="002B2821" w14:paraId="0447790E" w14:textId="77777777" w:rsidTr="000E7AE0">
        <w:trPr>
          <w:trHeight w:val="255"/>
        </w:trPr>
        <w:tc>
          <w:tcPr>
            <w:tcW w:w="2148" w:type="dxa"/>
            <w:tcBorders>
              <w:top w:val="nil"/>
              <w:left w:val="nil"/>
              <w:bottom w:val="nil"/>
              <w:right w:val="nil"/>
            </w:tcBorders>
            <w:shd w:val="clear" w:color="auto" w:fill="auto"/>
            <w:noWrap/>
            <w:vAlign w:val="bottom"/>
            <w:hideMark/>
          </w:tcPr>
          <w:p w14:paraId="55290DAC" w14:textId="77777777" w:rsidR="004E3103" w:rsidRPr="002B2821" w:rsidRDefault="004E3103" w:rsidP="004E3103">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22FE67C9" w14:textId="77777777" w:rsidR="004E3103" w:rsidRPr="002B2821" w:rsidRDefault="004E3103" w:rsidP="004E3103">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14E05DDE"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982" w:type="dxa"/>
            <w:tcBorders>
              <w:top w:val="nil"/>
              <w:left w:val="nil"/>
              <w:bottom w:val="nil"/>
              <w:right w:val="single" w:sz="4" w:space="0" w:color="3C3C3C"/>
            </w:tcBorders>
            <w:shd w:val="clear" w:color="auto" w:fill="auto"/>
            <w:noWrap/>
            <w:vAlign w:val="bottom"/>
            <w:hideMark/>
          </w:tcPr>
          <w:p w14:paraId="7E7DCAF0"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c>
          <w:tcPr>
            <w:tcW w:w="1240" w:type="dxa"/>
            <w:tcBorders>
              <w:top w:val="nil"/>
              <w:left w:val="single" w:sz="4" w:space="0" w:color="3C3C3C"/>
              <w:bottom w:val="nil"/>
              <w:right w:val="nil"/>
            </w:tcBorders>
            <w:shd w:val="clear" w:color="auto" w:fill="auto"/>
            <w:noWrap/>
            <w:vAlign w:val="bottom"/>
            <w:hideMark/>
          </w:tcPr>
          <w:p w14:paraId="3ADF495B" w14:textId="77777777" w:rsidR="004E3103" w:rsidRPr="002B2821" w:rsidRDefault="004E3103" w:rsidP="004E3103">
            <w:pPr>
              <w:spacing w:after="0" w:line="240" w:lineRule="auto"/>
              <w:jc w:val="right"/>
              <w:rPr>
                <w:lang w:eastAsia="en-GB"/>
              </w:rPr>
            </w:pPr>
          </w:p>
        </w:tc>
        <w:tc>
          <w:tcPr>
            <w:tcW w:w="1120" w:type="dxa"/>
            <w:tcBorders>
              <w:top w:val="nil"/>
              <w:left w:val="nil"/>
              <w:bottom w:val="nil"/>
              <w:right w:val="nil"/>
            </w:tcBorders>
            <w:shd w:val="clear" w:color="auto" w:fill="auto"/>
            <w:noWrap/>
            <w:vAlign w:val="bottom"/>
            <w:hideMark/>
          </w:tcPr>
          <w:p w14:paraId="230DFEC1"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222" w:type="dxa"/>
            <w:tcBorders>
              <w:top w:val="nil"/>
              <w:left w:val="nil"/>
              <w:bottom w:val="nil"/>
              <w:right w:val="nil"/>
            </w:tcBorders>
            <w:shd w:val="clear" w:color="auto" w:fill="auto"/>
            <w:noWrap/>
            <w:vAlign w:val="bottom"/>
            <w:hideMark/>
          </w:tcPr>
          <w:p w14:paraId="6AF2EBA8"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706276D6" w14:textId="77777777" w:rsidTr="000E7AE0">
        <w:trPr>
          <w:trHeight w:val="255"/>
        </w:trPr>
        <w:tc>
          <w:tcPr>
            <w:tcW w:w="2148" w:type="dxa"/>
            <w:tcBorders>
              <w:top w:val="nil"/>
              <w:left w:val="nil"/>
              <w:bottom w:val="nil"/>
              <w:right w:val="nil"/>
            </w:tcBorders>
            <w:shd w:val="clear" w:color="auto" w:fill="auto"/>
            <w:noWrap/>
            <w:vAlign w:val="bottom"/>
            <w:hideMark/>
          </w:tcPr>
          <w:p w14:paraId="44FBCCA7" w14:textId="77777777" w:rsidR="004E3103" w:rsidRPr="002B2821" w:rsidRDefault="004E3103" w:rsidP="004E3103">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0AE6EFD9" w14:textId="77777777" w:rsidR="004E3103" w:rsidRPr="002B2821" w:rsidRDefault="004E3103" w:rsidP="004E3103">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588C0EC1"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982" w:type="dxa"/>
            <w:tcBorders>
              <w:top w:val="nil"/>
              <w:left w:val="nil"/>
              <w:bottom w:val="nil"/>
              <w:right w:val="single" w:sz="4" w:space="0" w:color="3C3C3C"/>
            </w:tcBorders>
            <w:shd w:val="clear" w:color="auto" w:fill="auto"/>
            <w:noWrap/>
            <w:vAlign w:val="bottom"/>
            <w:hideMark/>
          </w:tcPr>
          <w:p w14:paraId="101EE16D"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240" w:type="dxa"/>
            <w:tcBorders>
              <w:top w:val="nil"/>
              <w:left w:val="single" w:sz="4" w:space="0" w:color="3C3C3C"/>
              <w:bottom w:val="nil"/>
              <w:right w:val="nil"/>
            </w:tcBorders>
            <w:shd w:val="clear" w:color="auto" w:fill="auto"/>
            <w:noWrap/>
            <w:vAlign w:val="bottom"/>
            <w:hideMark/>
          </w:tcPr>
          <w:p w14:paraId="0BBAC7E0"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120" w:type="dxa"/>
            <w:tcBorders>
              <w:top w:val="nil"/>
              <w:left w:val="nil"/>
              <w:bottom w:val="nil"/>
              <w:right w:val="nil"/>
            </w:tcBorders>
            <w:shd w:val="clear" w:color="auto" w:fill="auto"/>
            <w:noWrap/>
            <w:vAlign w:val="bottom"/>
            <w:hideMark/>
          </w:tcPr>
          <w:p w14:paraId="17929579"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222" w:type="dxa"/>
            <w:tcBorders>
              <w:top w:val="nil"/>
              <w:left w:val="nil"/>
              <w:bottom w:val="nil"/>
              <w:right w:val="nil"/>
            </w:tcBorders>
            <w:shd w:val="clear" w:color="auto" w:fill="auto"/>
            <w:noWrap/>
            <w:vAlign w:val="bottom"/>
            <w:hideMark/>
          </w:tcPr>
          <w:p w14:paraId="6D7D062A"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5CDC0D04" w14:textId="77777777" w:rsidTr="000E7AE0">
        <w:trPr>
          <w:trHeight w:val="255"/>
        </w:trPr>
        <w:tc>
          <w:tcPr>
            <w:tcW w:w="2148" w:type="dxa"/>
            <w:tcBorders>
              <w:top w:val="nil"/>
              <w:left w:val="nil"/>
              <w:bottom w:val="nil"/>
              <w:right w:val="nil"/>
            </w:tcBorders>
            <w:shd w:val="clear" w:color="auto" w:fill="auto"/>
            <w:noWrap/>
            <w:vAlign w:val="bottom"/>
            <w:hideMark/>
          </w:tcPr>
          <w:p w14:paraId="0C75DA12" w14:textId="77777777" w:rsidR="004E3103" w:rsidRPr="002B2821" w:rsidRDefault="004E3103" w:rsidP="004E3103">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203B8E6D" w14:textId="77777777" w:rsidR="004E3103" w:rsidRPr="002B2821" w:rsidRDefault="004E3103" w:rsidP="004E3103">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27D3B3AE" w14:textId="77777777" w:rsidR="004E3103" w:rsidRPr="002B2821" w:rsidRDefault="004E3103" w:rsidP="004E3103">
            <w:pPr>
              <w:spacing w:after="0" w:line="240" w:lineRule="auto"/>
              <w:rPr>
                <w:lang w:eastAsia="en-GB"/>
              </w:rPr>
            </w:pPr>
          </w:p>
        </w:tc>
        <w:tc>
          <w:tcPr>
            <w:tcW w:w="982" w:type="dxa"/>
            <w:tcBorders>
              <w:top w:val="nil"/>
              <w:left w:val="nil"/>
              <w:bottom w:val="nil"/>
              <w:right w:val="single" w:sz="4" w:space="0" w:color="3C3C3C"/>
            </w:tcBorders>
            <w:shd w:val="clear" w:color="auto" w:fill="auto"/>
            <w:noWrap/>
            <w:vAlign w:val="bottom"/>
            <w:hideMark/>
          </w:tcPr>
          <w:p w14:paraId="7FA0EA02" w14:textId="77777777" w:rsidR="004E3103" w:rsidRPr="002B2821" w:rsidRDefault="004E3103" w:rsidP="004E3103">
            <w:pPr>
              <w:spacing w:after="0" w:line="240" w:lineRule="auto"/>
              <w:jc w:val="center"/>
              <w:rPr>
                <w:lang w:eastAsia="en-GB"/>
              </w:rPr>
            </w:pPr>
          </w:p>
        </w:tc>
        <w:tc>
          <w:tcPr>
            <w:tcW w:w="1240" w:type="dxa"/>
            <w:tcBorders>
              <w:top w:val="nil"/>
              <w:left w:val="single" w:sz="4" w:space="0" w:color="3C3C3C"/>
              <w:bottom w:val="nil"/>
              <w:right w:val="nil"/>
            </w:tcBorders>
            <w:shd w:val="clear" w:color="auto" w:fill="auto"/>
            <w:noWrap/>
            <w:vAlign w:val="bottom"/>
            <w:hideMark/>
          </w:tcPr>
          <w:p w14:paraId="5B3E39B9" w14:textId="77777777" w:rsidR="004E3103" w:rsidRPr="002B2821" w:rsidRDefault="004E3103" w:rsidP="004E3103">
            <w:pPr>
              <w:spacing w:after="0" w:line="240" w:lineRule="auto"/>
              <w:jc w:val="center"/>
              <w:rPr>
                <w:lang w:eastAsia="en-GB"/>
              </w:rPr>
            </w:pPr>
          </w:p>
        </w:tc>
        <w:tc>
          <w:tcPr>
            <w:tcW w:w="1120" w:type="dxa"/>
            <w:tcBorders>
              <w:top w:val="nil"/>
              <w:left w:val="nil"/>
              <w:bottom w:val="nil"/>
              <w:right w:val="nil"/>
            </w:tcBorders>
            <w:shd w:val="clear" w:color="auto" w:fill="auto"/>
            <w:noWrap/>
            <w:vAlign w:val="bottom"/>
            <w:hideMark/>
          </w:tcPr>
          <w:p w14:paraId="7D3956BB" w14:textId="77777777" w:rsidR="004E3103" w:rsidRPr="002B2821" w:rsidRDefault="004E3103" w:rsidP="004E3103">
            <w:pPr>
              <w:spacing w:after="0" w:line="240" w:lineRule="auto"/>
              <w:jc w:val="center"/>
              <w:rPr>
                <w:lang w:eastAsia="en-GB"/>
              </w:rPr>
            </w:pPr>
          </w:p>
        </w:tc>
        <w:tc>
          <w:tcPr>
            <w:tcW w:w="222" w:type="dxa"/>
            <w:tcBorders>
              <w:top w:val="nil"/>
              <w:left w:val="nil"/>
              <w:bottom w:val="nil"/>
              <w:right w:val="nil"/>
            </w:tcBorders>
            <w:shd w:val="clear" w:color="auto" w:fill="auto"/>
            <w:noWrap/>
            <w:vAlign w:val="bottom"/>
            <w:hideMark/>
          </w:tcPr>
          <w:p w14:paraId="1BC12CB0" w14:textId="77777777" w:rsidR="004E3103" w:rsidRPr="002B2821" w:rsidRDefault="004E3103" w:rsidP="004E3103">
            <w:pPr>
              <w:spacing w:after="0" w:line="240" w:lineRule="auto"/>
              <w:jc w:val="center"/>
              <w:rPr>
                <w:lang w:eastAsia="en-GB"/>
              </w:rPr>
            </w:pPr>
          </w:p>
        </w:tc>
      </w:tr>
      <w:tr w:rsidR="004E3103" w:rsidRPr="002B2821" w14:paraId="2470BB89" w14:textId="77777777" w:rsidTr="000E7AE0">
        <w:trPr>
          <w:trHeight w:val="255"/>
        </w:trPr>
        <w:tc>
          <w:tcPr>
            <w:tcW w:w="2148" w:type="dxa"/>
            <w:tcBorders>
              <w:top w:val="nil"/>
              <w:left w:val="nil"/>
              <w:bottom w:val="nil"/>
              <w:right w:val="nil"/>
            </w:tcBorders>
            <w:shd w:val="clear" w:color="auto" w:fill="auto"/>
            <w:noWrap/>
            <w:vAlign w:val="bottom"/>
            <w:hideMark/>
          </w:tcPr>
          <w:p w14:paraId="00EC2B52" w14:textId="77777777" w:rsidR="004E3103" w:rsidRPr="002B2821" w:rsidRDefault="004E3103" w:rsidP="004E3103">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Fixed Assets</w:t>
            </w:r>
          </w:p>
        </w:tc>
        <w:tc>
          <w:tcPr>
            <w:tcW w:w="1188" w:type="dxa"/>
            <w:tcBorders>
              <w:top w:val="nil"/>
              <w:left w:val="nil"/>
              <w:bottom w:val="nil"/>
              <w:right w:val="single" w:sz="4" w:space="0" w:color="3C3C3C"/>
            </w:tcBorders>
            <w:shd w:val="clear" w:color="auto" w:fill="auto"/>
            <w:noWrap/>
            <w:vAlign w:val="bottom"/>
            <w:hideMark/>
          </w:tcPr>
          <w:p w14:paraId="7F46AC98" w14:textId="77777777" w:rsidR="004E3103" w:rsidRPr="002B2821" w:rsidRDefault="004E3103" w:rsidP="004E3103">
            <w:pPr>
              <w:spacing w:after="0" w:line="240" w:lineRule="auto"/>
              <w:rPr>
                <w:rFonts w:ascii="Calibri" w:hAnsi="Calibri" w:cs="Arial"/>
                <w:b/>
                <w:bCs/>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5558522F" w14:textId="77777777" w:rsidR="004E3103" w:rsidRPr="002B2821" w:rsidRDefault="004E3103" w:rsidP="004E3103">
            <w:pPr>
              <w:spacing w:after="0" w:line="240" w:lineRule="auto"/>
              <w:rPr>
                <w:lang w:eastAsia="en-GB"/>
              </w:rPr>
            </w:pPr>
          </w:p>
        </w:tc>
        <w:tc>
          <w:tcPr>
            <w:tcW w:w="982" w:type="dxa"/>
            <w:tcBorders>
              <w:top w:val="nil"/>
              <w:left w:val="nil"/>
              <w:bottom w:val="nil"/>
              <w:right w:val="single" w:sz="4" w:space="0" w:color="3C3C3C"/>
            </w:tcBorders>
            <w:shd w:val="clear" w:color="auto" w:fill="auto"/>
            <w:noWrap/>
            <w:vAlign w:val="bottom"/>
            <w:hideMark/>
          </w:tcPr>
          <w:p w14:paraId="3855A9F8" w14:textId="77777777" w:rsidR="004E3103" w:rsidRPr="002B2821" w:rsidRDefault="004E3103" w:rsidP="004E3103">
            <w:pPr>
              <w:spacing w:after="0" w:line="240" w:lineRule="auto"/>
              <w:rPr>
                <w:lang w:eastAsia="en-GB"/>
              </w:rPr>
            </w:pPr>
          </w:p>
        </w:tc>
        <w:tc>
          <w:tcPr>
            <w:tcW w:w="1240" w:type="dxa"/>
            <w:tcBorders>
              <w:top w:val="nil"/>
              <w:left w:val="single" w:sz="4" w:space="0" w:color="3C3C3C"/>
              <w:bottom w:val="nil"/>
              <w:right w:val="nil"/>
            </w:tcBorders>
            <w:shd w:val="clear" w:color="auto" w:fill="auto"/>
            <w:noWrap/>
            <w:vAlign w:val="bottom"/>
            <w:hideMark/>
          </w:tcPr>
          <w:p w14:paraId="49666137"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77AC57D0"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29B1C8CA" w14:textId="77777777" w:rsidR="004E3103" w:rsidRPr="002B2821" w:rsidRDefault="004E3103" w:rsidP="004E3103">
            <w:pPr>
              <w:spacing w:after="0" w:line="240" w:lineRule="auto"/>
              <w:rPr>
                <w:lang w:eastAsia="en-GB"/>
              </w:rPr>
            </w:pPr>
          </w:p>
        </w:tc>
      </w:tr>
      <w:tr w:rsidR="004E3103" w:rsidRPr="002B2821" w14:paraId="52451ECF" w14:textId="77777777" w:rsidTr="000E7AE0">
        <w:trPr>
          <w:trHeight w:val="255"/>
        </w:trPr>
        <w:tc>
          <w:tcPr>
            <w:tcW w:w="2148" w:type="dxa"/>
            <w:tcBorders>
              <w:top w:val="nil"/>
              <w:left w:val="nil"/>
              <w:bottom w:val="nil"/>
              <w:right w:val="nil"/>
            </w:tcBorders>
            <w:shd w:val="clear" w:color="auto" w:fill="auto"/>
            <w:noWrap/>
            <w:vAlign w:val="bottom"/>
            <w:hideMark/>
          </w:tcPr>
          <w:p w14:paraId="13D73B8F"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Tangible</w:t>
            </w:r>
          </w:p>
        </w:tc>
        <w:tc>
          <w:tcPr>
            <w:tcW w:w="1188" w:type="dxa"/>
            <w:tcBorders>
              <w:top w:val="nil"/>
              <w:left w:val="nil"/>
              <w:bottom w:val="nil"/>
              <w:right w:val="single" w:sz="4" w:space="0" w:color="3C3C3C"/>
            </w:tcBorders>
            <w:shd w:val="clear" w:color="auto" w:fill="auto"/>
            <w:noWrap/>
            <w:vAlign w:val="bottom"/>
            <w:hideMark/>
          </w:tcPr>
          <w:p w14:paraId="431486AF" w14:textId="77777777" w:rsidR="004E3103" w:rsidRPr="002B2821" w:rsidRDefault="004E3103" w:rsidP="004E3103">
            <w:pPr>
              <w:spacing w:after="0" w:line="240" w:lineRule="auto"/>
              <w:rPr>
                <w:rFonts w:ascii="Calibri" w:hAnsi="Calibri" w:cs="Arial"/>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057FC816"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top w:val="nil"/>
              <w:left w:val="nil"/>
              <w:bottom w:val="nil"/>
              <w:right w:val="single" w:sz="4" w:space="0" w:color="3C3C3C"/>
            </w:tcBorders>
            <w:shd w:val="clear" w:color="auto" w:fill="auto"/>
            <w:noWrap/>
            <w:vAlign w:val="bottom"/>
            <w:hideMark/>
          </w:tcPr>
          <w:p w14:paraId="122BA5AC"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347</w:t>
            </w:r>
          </w:p>
        </w:tc>
        <w:tc>
          <w:tcPr>
            <w:tcW w:w="1240" w:type="dxa"/>
            <w:tcBorders>
              <w:top w:val="nil"/>
              <w:left w:val="single" w:sz="4" w:space="0" w:color="3C3C3C"/>
              <w:bottom w:val="nil"/>
              <w:right w:val="nil"/>
            </w:tcBorders>
            <w:shd w:val="clear" w:color="auto" w:fill="auto"/>
            <w:noWrap/>
            <w:vAlign w:val="bottom"/>
            <w:hideMark/>
          </w:tcPr>
          <w:p w14:paraId="2F7F7B5F"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tcBorders>
              <w:top w:val="nil"/>
              <w:left w:val="nil"/>
              <w:bottom w:val="nil"/>
              <w:right w:val="nil"/>
            </w:tcBorders>
            <w:shd w:val="clear" w:color="auto" w:fill="auto"/>
            <w:noWrap/>
            <w:vAlign w:val="bottom"/>
            <w:hideMark/>
          </w:tcPr>
          <w:p w14:paraId="48ACB4B7"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347</w:t>
            </w:r>
          </w:p>
        </w:tc>
        <w:tc>
          <w:tcPr>
            <w:tcW w:w="222" w:type="dxa"/>
            <w:tcBorders>
              <w:top w:val="nil"/>
              <w:left w:val="nil"/>
              <w:bottom w:val="nil"/>
              <w:right w:val="nil"/>
            </w:tcBorders>
            <w:shd w:val="clear" w:color="auto" w:fill="auto"/>
            <w:noWrap/>
            <w:vAlign w:val="bottom"/>
            <w:hideMark/>
          </w:tcPr>
          <w:p w14:paraId="249DBC14"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28596A6A" w14:textId="77777777" w:rsidTr="000E7AE0">
        <w:trPr>
          <w:trHeight w:val="255"/>
        </w:trPr>
        <w:tc>
          <w:tcPr>
            <w:tcW w:w="2148" w:type="dxa"/>
            <w:tcBorders>
              <w:top w:val="nil"/>
              <w:left w:val="nil"/>
              <w:bottom w:val="nil"/>
              <w:right w:val="nil"/>
            </w:tcBorders>
            <w:shd w:val="clear" w:color="auto" w:fill="auto"/>
            <w:noWrap/>
            <w:vAlign w:val="bottom"/>
            <w:hideMark/>
          </w:tcPr>
          <w:p w14:paraId="40BBD958"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Investments</w:t>
            </w:r>
          </w:p>
        </w:tc>
        <w:tc>
          <w:tcPr>
            <w:tcW w:w="1188" w:type="dxa"/>
            <w:tcBorders>
              <w:top w:val="nil"/>
              <w:left w:val="nil"/>
              <w:bottom w:val="nil"/>
              <w:right w:val="single" w:sz="4" w:space="0" w:color="3C3C3C"/>
            </w:tcBorders>
            <w:shd w:val="clear" w:color="auto" w:fill="auto"/>
            <w:noWrap/>
            <w:vAlign w:val="bottom"/>
            <w:hideMark/>
          </w:tcPr>
          <w:p w14:paraId="018DDF43" w14:textId="77777777" w:rsidR="004E3103" w:rsidRPr="002B2821" w:rsidRDefault="004E3103" w:rsidP="004E3103">
            <w:pPr>
              <w:spacing w:after="0" w:line="240" w:lineRule="auto"/>
              <w:rPr>
                <w:rFonts w:ascii="Calibri" w:hAnsi="Calibri" w:cs="Arial"/>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3ABABC19" w14:textId="3349FB79" w:rsidR="004E3103" w:rsidRPr="002B2821" w:rsidRDefault="004E3103" w:rsidP="00FE5D08">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5,</w:t>
            </w:r>
            <w:r w:rsidR="00FE5D08" w:rsidRPr="002B2821">
              <w:rPr>
                <w:rFonts w:ascii="Calibri" w:hAnsi="Calibri" w:cs="Arial"/>
                <w:color w:val="000000"/>
                <w:sz w:val="22"/>
                <w:szCs w:val="22"/>
                <w:lang w:eastAsia="en-GB"/>
              </w:rPr>
              <w:t>727</w:t>
            </w:r>
          </w:p>
        </w:tc>
        <w:tc>
          <w:tcPr>
            <w:tcW w:w="982" w:type="dxa"/>
            <w:tcBorders>
              <w:top w:val="nil"/>
              <w:left w:val="nil"/>
              <w:bottom w:val="nil"/>
              <w:right w:val="single" w:sz="4" w:space="0" w:color="3C3C3C"/>
            </w:tcBorders>
            <w:shd w:val="clear" w:color="auto" w:fill="auto"/>
            <w:noWrap/>
            <w:vAlign w:val="bottom"/>
            <w:hideMark/>
          </w:tcPr>
          <w:p w14:paraId="28CECBC0" w14:textId="68BC81BE" w:rsidR="004E3103" w:rsidRPr="002B2821" w:rsidRDefault="004E3103" w:rsidP="004033BA">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16</w:t>
            </w:r>
            <w:r w:rsidR="009A208A" w:rsidRPr="002B2821">
              <w:rPr>
                <w:rFonts w:ascii="Calibri" w:hAnsi="Calibri" w:cs="Arial"/>
                <w:color w:val="000000"/>
                <w:sz w:val="22"/>
                <w:szCs w:val="22"/>
                <w:lang w:eastAsia="en-GB"/>
              </w:rPr>
              <w:t>1</w:t>
            </w:r>
            <w:r w:rsidRPr="002B2821">
              <w:rPr>
                <w:rFonts w:ascii="Calibri" w:hAnsi="Calibri" w:cs="Arial"/>
                <w:color w:val="000000"/>
                <w:sz w:val="22"/>
                <w:szCs w:val="22"/>
                <w:lang w:eastAsia="en-GB"/>
              </w:rPr>
              <w:t>,</w:t>
            </w:r>
            <w:r w:rsidR="004033BA" w:rsidRPr="002B2821">
              <w:rPr>
                <w:rFonts w:ascii="Calibri" w:hAnsi="Calibri" w:cs="Arial"/>
                <w:color w:val="000000"/>
                <w:sz w:val="22"/>
                <w:szCs w:val="22"/>
                <w:lang w:eastAsia="en-GB"/>
              </w:rPr>
              <w:t>949</w:t>
            </w:r>
          </w:p>
        </w:tc>
        <w:tc>
          <w:tcPr>
            <w:tcW w:w="1240" w:type="dxa"/>
            <w:tcBorders>
              <w:top w:val="nil"/>
              <w:left w:val="single" w:sz="4" w:space="0" w:color="3C3C3C"/>
              <w:bottom w:val="nil"/>
              <w:right w:val="nil"/>
            </w:tcBorders>
            <w:shd w:val="clear" w:color="auto" w:fill="auto"/>
            <w:noWrap/>
            <w:vAlign w:val="bottom"/>
            <w:hideMark/>
          </w:tcPr>
          <w:p w14:paraId="206B3A53"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tcBorders>
              <w:top w:val="nil"/>
              <w:left w:val="nil"/>
              <w:bottom w:val="nil"/>
              <w:right w:val="nil"/>
            </w:tcBorders>
            <w:shd w:val="clear" w:color="auto" w:fill="auto"/>
            <w:noWrap/>
            <w:vAlign w:val="bottom"/>
            <w:hideMark/>
          </w:tcPr>
          <w:p w14:paraId="4CA9571F"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167,676</w:t>
            </w:r>
          </w:p>
        </w:tc>
        <w:tc>
          <w:tcPr>
            <w:tcW w:w="222" w:type="dxa"/>
            <w:tcBorders>
              <w:top w:val="nil"/>
              <w:left w:val="nil"/>
              <w:bottom w:val="nil"/>
              <w:right w:val="nil"/>
            </w:tcBorders>
            <w:shd w:val="clear" w:color="auto" w:fill="auto"/>
            <w:noWrap/>
            <w:vAlign w:val="bottom"/>
            <w:hideMark/>
          </w:tcPr>
          <w:p w14:paraId="1780195B"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53D35DFC" w14:textId="77777777" w:rsidTr="000E7AE0">
        <w:trPr>
          <w:trHeight w:val="255"/>
        </w:trPr>
        <w:tc>
          <w:tcPr>
            <w:tcW w:w="2148" w:type="dxa"/>
            <w:tcBorders>
              <w:top w:val="nil"/>
              <w:left w:val="nil"/>
              <w:bottom w:val="nil"/>
              <w:right w:val="nil"/>
            </w:tcBorders>
            <w:shd w:val="clear" w:color="auto" w:fill="auto"/>
            <w:noWrap/>
            <w:vAlign w:val="bottom"/>
            <w:hideMark/>
          </w:tcPr>
          <w:p w14:paraId="09541A63" w14:textId="77777777" w:rsidR="004E3103" w:rsidRPr="002B2821" w:rsidRDefault="004E3103" w:rsidP="004E3103">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Current Assets</w:t>
            </w:r>
          </w:p>
        </w:tc>
        <w:tc>
          <w:tcPr>
            <w:tcW w:w="1188" w:type="dxa"/>
            <w:tcBorders>
              <w:top w:val="nil"/>
              <w:left w:val="nil"/>
              <w:bottom w:val="nil"/>
              <w:right w:val="single" w:sz="4" w:space="0" w:color="3C3C3C"/>
            </w:tcBorders>
            <w:shd w:val="clear" w:color="auto" w:fill="auto"/>
            <w:noWrap/>
            <w:vAlign w:val="bottom"/>
            <w:hideMark/>
          </w:tcPr>
          <w:p w14:paraId="7A84EC14" w14:textId="77777777" w:rsidR="004E3103" w:rsidRPr="002B2821" w:rsidRDefault="004E3103" w:rsidP="004E3103">
            <w:pPr>
              <w:spacing w:after="0" w:line="240" w:lineRule="auto"/>
              <w:rPr>
                <w:rFonts w:ascii="Calibri" w:hAnsi="Calibri" w:cs="Arial"/>
                <w:b/>
                <w:bCs/>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5861AA3C" w14:textId="77777777" w:rsidR="004E3103" w:rsidRPr="002B2821" w:rsidRDefault="004E3103" w:rsidP="004E3103">
            <w:pPr>
              <w:spacing w:after="0" w:line="240" w:lineRule="auto"/>
              <w:rPr>
                <w:lang w:eastAsia="en-GB"/>
              </w:rPr>
            </w:pPr>
          </w:p>
        </w:tc>
        <w:tc>
          <w:tcPr>
            <w:tcW w:w="982" w:type="dxa"/>
            <w:tcBorders>
              <w:top w:val="nil"/>
              <w:left w:val="nil"/>
              <w:bottom w:val="nil"/>
              <w:right w:val="single" w:sz="4" w:space="0" w:color="3C3C3C"/>
            </w:tcBorders>
            <w:shd w:val="clear" w:color="auto" w:fill="auto"/>
            <w:noWrap/>
            <w:vAlign w:val="bottom"/>
            <w:hideMark/>
          </w:tcPr>
          <w:p w14:paraId="35CC9A16" w14:textId="77777777" w:rsidR="004E3103" w:rsidRPr="002B2821" w:rsidRDefault="004E3103" w:rsidP="004E3103">
            <w:pPr>
              <w:spacing w:after="0" w:line="240" w:lineRule="auto"/>
              <w:rPr>
                <w:lang w:eastAsia="en-GB"/>
              </w:rPr>
            </w:pPr>
          </w:p>
        </w:tc>
        <w:tc>
          <w:tcPr>
            <w:tcW w:w="1240" w:type="dxa"/>
            <w:tcBorders>
              <w:top w:val="nil"/>
              <w:left w:val="single" w:sz="4" w:space="0" w:color="3C3C3C"/>
              <w:bottom w:val="nil"/>
              <w:right w:val="nil"/>
            </w:tcBorders>
            <w:shd w:val="clear" w:color="auto" w:fill="auto"/>
            <w:noWrap/>
            <w:vAlign w:val="bottom"/>
            <w:hideMark/>
          </w:tcPr>
          <w:p w14:paraId="0540131D"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062A0034"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14567501" w14:textId="77777777" w:rsidR="004E3103" w:rsidRPr="002B2821" w:rsidRDefault="004E3103" w:rsidP="004E3103">
            <w:pPr>
              <w:spacing w:after="0" w:line="240" w:lineRule="auto"/>
              <w:rPr>
                <w:lang w:eastAsia="en-GB"/>
              </w:rPr>
            </w:pPr>
          </w:p>
        </w:tc>
      </w:tr>
      <w:tr w:rsidR="004E3103" w:rsidRPr="002B2821" w14:paraId="2502302F"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6EC97658"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Debtors and Prepayments</w:t>
            </w:r>
          </w:p>
        </w:tc>
        <w:tc>
          <w:tcPr>
            <w:tcW w:w="1738" w:type="dxa"/>
            <w:tcBorders>
              <w:top w:val="nil"/>
              <w:left w:val="single" w:sz="4" w:space="0" w:color="3C3C3C"/>
              <w:bottom w:val="nil"/>
              <w:right w:val="nil"/>
            </w:tcBorders>
            <w:shd w:val="clear" w:color="auto" w:fill="auto"/>
            <w:noWrap/>
            <w:vAlign w:val="bottom"/>
            <w:hideMark/>
          </w:tcPr>
          <w:p w14:paraId="41CDFA17"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top w:val="nil"/>
              <w:left w:val="nil"/>
              <w:bottom w:val="nil"/>
              <w:right w:val="single" w:sz="4" w:space="0" w:color="3C3C3C"/>
            </w:tcBorders>
            <w:shd w:val="clear" w:color="auto" w:fill="auto"/>
            <w:noWrap/>
            <w:vAlign w:val="bottom"/>
            <w:hideMark/>
          </w:tcPr>
          <w:p w14:paraId="16002265"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43</w:t>
            </w:r>
          </w:p>
        </w:tc>
        <w:tc>
          <w:tcPr>
            <w:tcW w:w="1240" w:type="dxa"/>
            <w:tcBorders>
              <w:top w:val="nil"/>
              <w:left w:val="single" w:sz="4" w:space="0" w:color="3C3C3C"/>
              <w:bottom w:val="nil"/>
              <w:right w:val="nil"/>
            </w:tcBorders>
            <w:shd w:val="clear" w:color="auto" w:fill="auto"/>
            <w:noWrap/>
            <w:vAlign w:val="bottom"/>
            <w:hideMark/>
          </w:tcPr>
          <w:p w14:paraId="1E342E99"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tcBorders>
              <w:top w:val="nil"/>
              <w:left w:val="nil"/>
              <w:bottom w:val="nil"/>
              <w:right w:val="nil"/>
            </w:tcBorders>
            <w:shd w:val="clear" w:color="auto" w:fill="auto"/>
            <w:noWrap/>
            <w:vAlign w:val="bottom"/>
            <w:hideMark/>
          </w:tcPr>
          <w:p w14:paraId="52EC5602"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43</w:t>
            </w:r>
          </w:p>
        </w:tc>
        <w:tc>
          <w:tcPr>
            <w:tcW w:w="222" w:type="dxa"/>
            <w:tcBorders>
              <w:top w:val="nil"/>
              <w:left w:val="nil"/>
              <w:bottom w:val="nil"/>
              <w:right w:val="nil"/>
            </w:tcBorders>
            <w:shd w:val="clear" w:color="auto" w:fill="auto"/>
            <w:noWrap/>
            <w:vAlign w:val="bottom"/>
            <w:hideMark/>
          </w:tcPr>
          <w:p w14:paraId="4FAC6DEE"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7B4F5EE6" w14:textId="77777777" w:rsidTr="000E7AE0">
        <w:trPr>
          <w:trHeight w:val="255"/>
        </w:trPr>
        <w:tc>
          <w:tcPr>
            <w:tcW w:w="2148" w:type="dxa"/>
            <w:tcBorders>
              <w:top w:val="nil"/>
              <w:left w:val="nil"/>
              <w:bottom w:val="nil"/>
              <w:right w:val="nil"/>
            </w:tcBorders>
            <w:shd w:val="clear" w:color="auto" w:fill="auto"/>
            <w:noWrap/>
            <w:vAlign w:val="bottom"/>
            <w:hideMark/>
          </w:tcPr>
          <w:p w14:paraId="5FFF440E"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Advance of Grants</w:t>
            </w:r>
          </w:p>
        </w:tc>
        <w:tc>
          <w:tcPr>
            <w:tcW w:w="1188" w:type="dxa"/>
            <w:tcBorders>
              <w:top w:val="nil"/>
              <w:left w:val="nil"/>
              <w:bottom w:val="nil"/>
              <w:right w:val="single" w:sz="4" w:space="0" w:color="3C3C3C"/>
            </w:tcBorders>
            <w:shd w:val="clear" w:color="auto" w:fill="auto"/>
            <w:noWrap/>
            <w:vAlign w:val="bottom"/>
            <w:hideMark/>
          </w:tcPr>
          <w:p w14:paraId="5EE2A3C7" w14:textId="77777777" w:rsidR="004E3103" w:rsidRPr="002B2821" w:rsidRDefault="004E3103" w:rsidP="004E3103">
            <w:pPr>
              <w:spacing w:after="0" w:line="240" w:lineRule="auto"/>
              <w:rPr>
                <w:rFonts w:ascii="Calibri" w:hAnsi="Calibri" w:cs="Arial"/>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37B1E934"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top w:val="nil"/>
              <w:left w:val="nil"/>
              <w:bottom w:val="nil"/>
              <w:right w:val="single" w:sz="4" w:space="0" w:color="3C3C3C"/>
            </w:tcBorders>
            <w:shd w:val="clear" w:color="auto" w:fill="auto"/>
            <w:noWrap/>
            <w:vAlign w:val="bottom"/>
            <w:hideMark/>
          </w:tcPr>
          <w:p w14:paraId="3F4C368C"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3,688</w:t>
            </w:r>
          </w:p>
        </w:tc>
        <w:tc>
          <w:tcPr>
            <w:tcW w:w="1240" w:type="dxa"/>
            <w:tcBorders>
              <w:top w:val="nil"/>
              <w:left w:val="single" w:sz="4" w:space="0" w:color="3C3C3C"/>
              <w:bottom w:val="nil"/>
              <w:right w:val="nil"/>
            </w:tcBorders>
            <w:shd w:val="clear" w:color="auto" w:fill="auto"/>
            <w:noWrap/>
            <w:vAlign w:val="bottom"/>
            <w:hideMark/>
          </w:tcPr>
          <w:p w14:paraId="69D57DB6"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tcBorders>
              <w:top w:val="nil"/>
              <w:left w:val="nil"/>
              <w:bottom w:val="nil"/>
              <w:right w:val="nil"/>
            </w:tcBorders>
            <w:shd w:val="clear" w:color="auto" w:fill="auto"/>
            <w:noWrap/>
            <w:vAlign w:val="bottom"/>
            <w:hideMark/>
          </w:tcPr>
          <w:p w14:paraId="3E449BB0"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3,688</w:t>
            </w:r>
          </w:p>
        </w:tc>
        <w:tc>
          <w:tcPr>
            <w:tcW w:w="222" w:type="dxa"/>
            <w:tcBorders>
              <w:top w:val="nil"/>
              <w:left w:val="nil"/>
              <w:bottom w:val="nil"/>
              <w:right w:val="nil"/>
            </w:tcBorders>
            <w:shd w:val="clear" w:color="auto" w:fill="auto"/>
            <w:noWrap/>
            <w:vAlign w:val="bottom"/>
            <w:hideMark/>
          </w:tcPr>
          <w:p w14:paraId="69159058"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039FE0F9"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2EF8A314"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Cash at Bank and in Hand</w:t>
            </w:r>
          </w:p>
        </w:tc>
        <w:tc>
          <w:tcPr>
            <w:tcW w:w="1738" w:type="dxa"/>
            <w:tcBorders>
              <w:top w:val="nil"/>
              <w:left w:val="single" w:sz="4" w:space="0" w:color="3C3C3C"/>
              <w:bottom w:val="nil"/>
              <w:right w:val="nil"/>
            </w:tcBorders>
            <w:shd w:val="clear" w:color="auto" w:fill="auto"/>
            <w:noWrap/>
            <w:vAlign w:val="bottom"/>
            <w:hideMark/>
          </w:tcPr>
          <w:p w14:paraId="1395041F" w14:textId="60658B47" w:rsidR="004E3103" w:rsidRPr="002B2821" w:rsidRDefault="00FE5D08" w:rsidP="00FE5D08">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954</w:t>
            </w:r>
          </w:p>
        </w:tc>
        <w:tc>
          <w:tcPr>
            <w:tcW w:w="982" w:type="dxa"/>
            <w:tcBorders>
              <w:top w:val="nil"/>
              <w:left w:val="nil"/>
              <w:bottom w:val="nil"/>
              <w:right w:val="single" w:sz="4" w:space="0" w:color="3C3C3C"/>
            </w:tcBorders>
            <w:shd w:val="clear" w:color="auto" w:fill="auto"/>
            <w:noWrap/>
            <w:vAlign w:val="bottom"/>
            <w:hideMark/>
          </w:tcPr>
          <w:p w14:paraId="56CBC22C" w14:textId="57C8FAD2" w:rsidR="004E3103" w:rsidRPr="002B2821" w:rsidRDefault="009A208A" w:rsidP="00FE5D08">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6</w:t>
            </w:r>
            <w:r w:rsidR="004E3103" w:rsidRPr="002B2821">
              <w:rPr>
                <w:rFonts w:ascii="Calibri" w:hAnsi="Calibri" w:cs="Arial"/>
                <w:color w:val="000000"/>
                <w:sz w:val="22"/>
                <w:szCs w:val="22"/>
                <w:lang w:eastAsia="en-GB"/>
              </w:rPr>
              <w:t>,</w:t>
            </w:r>
            <w:r w:rsidR="00FE5D08" w:rsidRPr="002B2821">
              <w:rPr>
                <w:rFonts w:ascii="Calibri" w:hAnsi="Calibri" w:cs="Arial"/>
                <w:color w:val="000000"/>
                <w:sz w:val="22"/>
                <w:szCs w:val="22"/>
                <w:lang w:eastAsia="en-GB"/>
              </w:rPr>
              <w:t>174</w:t>
            </w:r>
          </w:p>
        </w:tc>
        <w:tc>
          <w:tcPr>
            <w:tcW w:w="1240" w:type="dxa"/>
            <w:tcBorders>
              <w:top w:val="nil"/>
              <w:left w:val="single" w:sz="4" w:space="0" w:color="3C3C3C"/>
              <w:bottom w:val="nil"/>
              <w:right w:val="nil"/>
            </w:tcBorders>
            <w:shd w:val="clear" w:color="auto" w:fill="auto"/>
            <w:noWrap/>
            <w:vAlign w:val="bottom"/>
            <w:hideMark/>
          </w:tcPr>
          <w:p w14:paraId="61E4F291"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2,734</w:t>
            </w:r>
          </w:p>
        </w:tc>
        <w:tc>
          <w:tcPr>
            <w:tcW w:w="1120" w:type="dxa"/>
            <w:tcBorders>
              <w:top w:val="nil"/>
              <w:left w:val="nil"/>
              <w:bottom w:val="nil"/>
              <w:right w:val="nil"/>
            </w:tcBorders>
            <w:shd w:val="clear" w:color="auto" w:fill="auto"/>
            <w:noWrap/>
            <w:vAlign w:val="bottom"/>
            <w:hideMark/>
          </w:tcPr>
          <w:p w14:paraId="273A83B0"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9,862</w:t>
            </w:r>
          </w:p>
        </w:tc>
        <w:tc>
          <w:tcPr>
            <w:tcW w:w="222" w:type="dxa"/>
            <w:tcBorders>
              <w:top w:val="nil"/>
              <w:left w:val="nil"/>
              <w:bottom w:val="nil"/>
              <w:right w:val="nil"/>
            </w:tcBorders>
            <w:shd w:val="clear" w:color="auto" w:fill="auto"/>
            <w:noWrap/>
            <w:vAlign w:val="bottom"/>
            <w:hideMark/>
          </w:tcPr>
          <w:p w14:paraId="0ADAB6B4"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7502E822"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2786722C" w14:textId="77777777" w:rsidR="004E3103" w:rsidRPr="002B2821" w:rsidRDefault="004E3103" w:rsidP="004E3103">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Creditors: amounts falling due</w:t>
            </w:r>
          </w:p>
        </w:tc>
        <w:tc>
          <w:tcPr>
            <w:tcW w:w="1738" w:type="dxa"/>
            <w:tcBorders>
              <w:top w:val="nil"/>
              <w:left w:val="single" w:sz="4" w:space="0" w:color="3C3C3C"/>
              <w:bottom w:val="nil"/>
              <w:right w:val="nil"/>
            </w:tcBorders>
            <w:shd w:val="clear" w:color="auto" w:fill="auto"/>
            <w:noWrap/>
            <w:vAlign w:val="bottom"/>
            <w:hideMark/>
          </w:tcPr>
          <w:p w14:paraId="6BD6C0EC" w14:textId="77777777" w:rsidR="004E3103" w:rsidRPr="002B2821" w:rsidRDefault="004E3103" w:rsidP="004E3103">
            <w:pPr>
              <w:spacing w:after="0" w:line="240" w:lineRule="auto"/>
              <w:rPr>
                <w:rFonts w:ascii="Calibri" w:hAnsi="Calibri" w:cs="Arial"/>
                <w:b/>
                <w:bCs/>
                <w:color w:val="000000"/>
                <w:sz w:val="22"/>
                <w:szCs w:val="22"/>
                <w:lang w:eastAsia="en-GB"/>
              </w:rPr>
            </w:pPr>
          </w:p>
        </w:tc>
        <w:tc>
          <w:tcPr>
            <w:tcW w:w="982" w:type="dxa"/>
            <w:tcBorders>
              <w:top w:val="nil"/>
              <w:left w:val="nil"/>
              <w:bottom w:val="nil"/>
              <w:right w:val="single" w:sz="4" w:space="0" w:color="3C3C3C"/>
            </w:tcBorders>
            <w:shd w:val="clear" w:color="auto" w:fill="auto"/>
            <w:noWrap/>
            <w:vAlign w:val="bottom"/>
            <w:hideMark/>
          </w:tcPr>
          <w:p w14:paraId="28B40DC1" w14:textId="77777777" w:rsidR="004E3103" w:rsidRPr="002B2821" w:rsidRDefault="004E3103" w:rsidP="004E3103">
            <w:pPr>
              <w:spacing w:after="0" w:line="240" w:lineRule="auto"/>
              <w:rPr>
                <w:lang w:eastAsia="en-GB"/>
              </w:rPr>
            </w:pPr>
          </w:p>
        </w:tc>
        <w:tc>
          <w:tcPr>
            <w:tcW w:w="1240" w:type="dxa"/>
            <w:tcBorders>
              <w:top w:val="nil"/>
              <w:left w:val="single" w:sz="4" w:space="0" w:color="3C3C3C"/>
              <w:bottom w:val="nil"/>
              <w:right w:val="nil"/>
            </w:tcBorders>
            <w:shd w:val="clear" w:color="auto" w:fill="auto"/>
            <w:noWrap/>
            <w:vAlign w:val="bottom"/>
            <w:hideMark/>
          </w:tcPr>
          <w:p w14:paraId="1E806DDF"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4003C5CD"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6BC80F61" w14:textId="77777777" w:rsidR="004E3103" w:rsidRPr="002B2821" w:rsidRDefault="004E3103" w:rsidP="004E3103">
            <w:pPr>
              <w:spacing w:after="0" w:line="240" w:lineRule="auto"/>
              <w:rPr>
                <w:lang w:eastAsia="en-GB"/>
              </w:rPr>
            </w:pPr>
          </w:p>
        </w:tc>
      </w:tr>
      <w:tr w:rsidR="004E3103" w:rsidRPr="002B2821" w14:paraId="2CF15C96" w14:textId="77777777" w:rsidTr="000E7AE0">
        <w:trPr>
          <w:trHeight w:val="255"/>
        </w:trPr>
        <w:tc>
          <w:tcPr>
            <w:tcW w:w="2148" w:type="dxa"/>
            <w:tcBorders>
              <w:top w:val="nil"/>
              <w:left w:val="nil"/>
              <w:bottom w:val="nil"/>
              <w:right w:val="nil"/>
            </w:tcBorders>
            <w:shd w:val="clear" w:color="auto" w:fill="auto"/>
            <w:noWrap/>
            <w:vAlign w:val="bottom"/>
            <w:hideMark/>
          </w:tcPr>
          <w:p w14:paraId="0B904FC6" w14:textId="77777777" w:rsidR="004E3103" w:rsidRPr="002B2821" w:rsidRDefault="004E3103" w:rsidP="004E3103">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within one year</w:t>
            </w:r>
          </w:p>
        </w:tc>
        <w:tc>
          <w:tcPr>
            <w:tcW w:w="1188" w:type="dxa"/>
            <w:tcBorders>
              <w:top w:val="nil"/>
              <w:left w:val="nil"/>
              <w:bottom w:val="nil"/>
              <w:right w:val="single" w:sz="4" w:space="0" w:color="3C3C3C"/>
            </w:tcBorders>
            <w:shd w:val="clear" w:color="auto" w:fill="auto"/>
            <w:noWrap/>
            <w:vAlign w:val="bottom"/>
            <w:hideMark/>
          </w:tcPr>
          <w:p w14:paraId="3A51164D" w14:textId="77777777" w:rsidR="004E3103" w:rsidRPr="002B2821" w:rsidRDefault="004E3103" w:rsidP="004E3103">
            <w:pPr>
              <w:spacing w:after="0" w:line="240" w:lineRule="auto"/>
              <w:rPr>
                <w:rFonts w:ascii="Calibri" w:hAnsi="Calibri" w:cs="Arial"/>
                <w:b/>
                <w:bCs/>
                <w:color w:val="000000"/>
                <w:sz w:val="22"/>
                <w:szCs w:val="22"/>
                <w:lang w:eastAsia="en-GB"/>
              </w:rPr>
            </w:pPr>
          </w:p>
        </w:tc>
        <w:tc>
          <w:tcPr>
            <w:tcW w:w="1738" w:type="dxa"/>
            <w:tcBorders>
              <w:top w:val="nil"/>
              <w:left w:val="single" w:sz="4" w:space="0" w:color="3C3C3C"/>
              <w:bottom w:val="nil"/>
              <w:right w:val="nil"/>
            </w:tcBorders>
            <w:shd w:val="clear" w:color="auto" w:fill="auto"/>
            <w:noWrap/>
            <w:vAlign w:val="bottom"/>
            <w:hideMark/>
          </w:tcPr>
          <w:p w14:paraId="53D16ABA" w14:textId="77777777" w:rsidR="004E3103" w:rsidRPr="002B2821" w:rsidRDefault="004E3103" w:rsidP="004E3103">
            <w:pPr>
              <w:spacing w:after="0" w:line="240" w:lineRule="auto"/>
              <w:rPr>
                <w:lang w:eastAsia="en-GB"/>
              </w:rPr>
            </w:pPr>
          </w:p>
        </w:tc>
        <w:tc>
          <w:tcPr>
            <w:tcW w:w="982" w:type="dxa"/>
            <w:tcBorders>
              <w:top w:val="nil"/>
              <w:left w:val="nil"/>
              <w:bottom w:val="nil"/>
              <w:right w:val="single" w:sz="4" w:space="0" w:color="3C3C3C"/>
            </w:tcBorders>
            <w:shd w:val="clear" w:color="auto" w:fill="auto"/>
            <w:noWrap/>
            <w:vAlign w:val="bottom"/>
            <w:hideMark/>
          </w:tcPr>
          <w:p w14:paraId="23F84AD9" w14:textId="77777777" w:rsidR="004E3103" w:rsidRPr="002B2821" w:rsidRDefault="004E3103" w:rsidP="004E3103">
            <w:pPr>
              <w:spacing w:after="0" w:line="240" w:lineRule="auto"/>
              <w:rPr>
                <w:lang w:eastAsia="en-GB"/>
              </w:rPr>
            </w:pPr>
          </w:p>
        </w:tc>
        <w:tc>
          <w:tcPr>
            <w:tcW w:w="1240" w:type="dxa"/>
            <w:tcBorders>
              <w:top w:val="nil"/>
              <w:left w:val="single" w:sz="4" w:space="0" w:color="3C3C3C"/>
              <w:bottom w:val="nil"/>
              <w:right w:val="nil"/>
            </w:tcBorders>
            <w:shd w:val="clear" w:color="auto" w:fill="auto"/>
            <w:noWrap/>
            <w:vAlign w:val="bottom"/>
            <w:hideMark/>
          </w:tcPr>
          <w:p w14:paraId="075C222E"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7497ECCA"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0363F66D" w14:textId="77777777" w:rsidR="004E3103" w:rsidRPr="002B2821" w:rsidRDefault="004E3103" w:rsidP="004E3103">
            <w:pPr>
              <w:spacing w:after="0" w:line="240" w:lineRule="auto"/>
              <w:rPr>
                <w:lang w:eastAsia="en-GB"/>
              </w:rPr>
            </w:pPr>
          </w:p>
        </w:tc>
      </w:tr>
      <w:tr w:rsidR="004E3103" w:rsidRPr="002B2821" w14:paraId="1079EDBC"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4279A7AE"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Beneficiary nominee accounts</w:t>
            </w:r>
          </w:p>
        </w:tc>
        <w:tc>
          <w:tcPr>
            <w:tcW w:w="1738" w:type="dxa"/>
            <w:tcBorders>
              <w:top w:val="nil"/>
              <w:left w:val="single" w:sz="4" w:space="0" w:color="3C3C3C"/>
              <w:bottom w:val="nil"/>
              <w:right w:val="nil"/>
            </w:tcBorders>
            <w:shd w:val="clear" w:color="auto" w:fill="auto"/>
            <w:noWrap/>
            <w:vAlign w:val="bottom"/>
            <w:hideMark/>
          </w:tcPr>
          <w:p w14:paraId="50229919"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top w:val="nil"/>
              <w:left w:val="nil"/>
              <w:bottom w:val="nil"/>
              <w:right w:val="single" w:sz="4" w:space="0" w:color="3C3C3C"/>
            </w:tcBorders>
            <w:shd w:val="clear" w:color="auto" w:fill="auto"/>
            <w:noWrap/>
            <w:vAlign w:val="bottom"/>
            <w:hideMark/>
          </w:tcPr>
          <w:p w14:paraId="5A583A95"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(14,165)</w:t>
            </w:r>
          </w:p>
        </w:tc>
        <w:tc>
          <w:tcPr>
            <w:tcW w:w="1240" w:type="dxa"/>
            <w:tcBorders>
              <w:top w:val="nil"/>
              <w:left w:val="single" w:sz="4" w:space="0" w:color="3C3C3C"/>
              <w:bottom w:val="nil"/>
              <w:right w:val="nil"/>
            </w:tcBorders>
            <w:shd w:val="clear" w:color="auto" w:fill="auto"/>
            <w:noWrap/>
            <w:vAlign w:val="bottom"/>
            <w:hideMark/>
          </w:tcPr>
          <w:p w14:paraId="05CC528E"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(3,170)</w:t>
            </w:r>
          </w:p>
        </w:tc>
        <w:tc>
          <w:tcPr>
            <w:tcW w:w="1120" w:type="dxa"/>
            <w:tcBorders>
              <w:top w:val="nil"/>
              <w:left w:val="nil"/>
              <w:bottom w:val="nil"/>
              <w:right w:val="nil"/>
            </w:tcBorders>
            <w:shd w:val="clear" w:color="auto" w:fill="auto"/>
            <w:noWrap/>
            <w:vAlign w:val="bottom"/>
            <w:hideMark/>
          </w:tcPr>
          <w:p w14:paraId="0A87BEB2"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(17,335)</w:t>
            </w:r>
          </w:p>
        </w:tc>
        <w:tc>
          <w:tcPr>
            <w:tcW w:w="222" w:type="dxa"/>
            <w:tcBorders>
              <w:top w:val="nil"/>
              <w:left w:val="nil"/>
              <w:bottom w:val="nil"/>
              <w:right w:val="nil"/>
            </w:tcBorders>
            <w:shd w:val="clear" w:color="auto" w:fill="auto"/>
            <w:noWrap/>
            <w:vAlign w:val="bottom"/>
            <w:hideMark/>
          </w:tcPr>
          <w:p w14:paraId="14AB737B"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5B202914"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30A1F3AE"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Creditors and accrued expenses</w:t>
            </w:r>
          </w:p>
        </w:tc>
        <w:tc>
          <w:tcPr>
            <w:tcW w:w="1738" w:type="dxa"/>
            <w:tcBorders>
              <w:top w:val="nil"/>
              <w:left w:val="single" w:sz="4" w:space="0" w:color="3C3C3C"/>
              <w:bottom w:val="nil"/>
              <w:right w:val="nil"/>
            </w:tcBorders>
            <w:shd w:val="clear" w:color="auto" w:fill="auto"/>
            <w:noWrap/>
            <w:vAlign w:val="bottom"/>
            <w:hideMark/>
          </w:tcPr>
          <w:p w14:paraId="500E1E65"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top w:val="nil"/>
              <w:left w:val="nil"/>
              <w:bottom w:val="nil"/>
              <w:right w:val="single" w:sz="4" w:space="0" w:color="3C3C3C"/>
            </w:tcBorders>
            <w:shd w:val="clear" w:color="auto" w:fill="auto"/>
            <w:noWrap/>
            <w:vAlign w:val="bottom"/>
            <w:hideMark/>
          </w:tcPr>
          <w:p w14:paraId="48B0EDC5"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(290)</w:t>
            </w:r>
          </w:p>
        </w:tc>
        <w:tc>
          <w:tcPr>
            <w:tcW w:w="1240" w:type="dxa"/>
            <w:tcBorders>
              <w:top w:val="nil"/>
              <w:left w:val="single" w:sz="4" w:space="0" w:color="3C3C3C"/>
              <w:bottom w:val="nil"/>
              <w:right w:val="nil"/>
            </w:tcBorders>
            <w:shd w:val="clear" w:color="auto" w:fill="auto"/>
            <w:noWrap/>
            <w:vAlign w:val="bottom"/>
            <w:hideMark/>
          </w:tcPr>
          <w:p w14:paraId="469E79AE" w14:textId="155BCC62" w:rsidR="004E3103" w:rsidRPr="002B2821" w:rsidRDefault="00701A08" w:rsidP="00701A08">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tcBorders>
              <w:top w:val="nil"/>
              <w:left w:val="nil"/>
              <w:bottom w:val="nil"/>
              <w:right w:val="nil"/>
            </w:tcBorders>
            <w:shd w:val="clear" w:color="auto" w:fill="auto"/>
            <w:noWrap/>
            <w:vAlign w:val="bottom"/>
            <w:hideMark/>
          </w:tcPr>
          <w:p w14:paraId="48AEDD41"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(290)</w:t>
            </w:r>
          </w:p>
        </w:tc>
        <w:tc>
          <w:tcPr>
            <w:tcW w:w="222" w:type="dxa"/>
            <w:tcBorders>
              <w:top w:val="nil"/>
              <w:left w:val="nil"/>
              <w:bottom w:val="nil"/>
              <w:right w:val="nil"/>
            </w:tcBorders>
            <w:shd w:val="clear" w:color="auto" w:fill="auto"/>
            <w:noWrap/>
            <w:vAlign w:val="bottom"/>
            <w:hideMark/>
          </w:tcPr>
          <w:p w14:paraId="776AE6AB"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2DE1C5B3" w14:textId="77777777" w:rsidTr="000E7AE0">
        <w:trPr>
          <w:trHeight w:val="255"/>
        </w:trPr>
        <w:tc>
          <w:tcPr>
            <w:tcW w:w="2148" w:type="dxa"/>
            <w:tcBorders>
              <w:top w:val="nil"/>
              <w:left w:val="nil"/>
              <w:bottom w:val="nil"/>
              <w:right w:val="nil"/>
            </w:tcBorders>
            <w:shd w:val="clear" w:color="auto" w:fill="auto"/>
            <w:noWrap/>
            <w:vAlign w:val="bottom"/>
            <w:hideMark/>
          </w:tcPr>
          <w:p w14:paraId="7BD4C0F3" w14:textId="77777777" w:rsidR="004E3103" w:rsidRPr="002B2821" w:rsidRDefault="004E3103" w:rsidP="004E3103">
            <w:pPr>
              <w:spacing w:after="0" w:line="240" w:lineRule="auto"/>
              <w:rPr>
                <w:lang w:eastAsia="en-GB"/>
              </w:rPr>
            </w:pPr>
          </w:p>
        </w:tc>
        <w:tc>
          <w:tcPr>
            <w:tcW w:w="1188" w:type="dxa"/>
            <w:tcBorders>
              <w:top w:val="nil"/>
              <w:left w:val="nil"/>
              <w:bottom w:val="nil"/>
              <w:right w:val="single" w:sz="4" w:space="0" w:color="3C3C3C"/>
            </w:tcBorders>
            <w:shd w:val="clear" w:color="auto" w:fill="auto"/>
            <w:noWrap/>
            <w:vAlign w:val="bottom"/>
            <w:hideMark/>
          </w:tcPr>
          <w:p w14:paraId="2BFB1E91" w14:textId="77777777" w:rsidR="004E3103" w:rsidRPr="002B2821" w:rsidRDefault="004E3103" w:rsidP="004E3103">
            <w:pPr>
              <w:spacing w:after="0" w:line="240" w:lineRule="auto"/>
              <w:rPr>
                <w:lang w:eastAsia="en-GB"/>
              </w:rPr>
            </w:pPr>
          </w:p>
        </w:tc>
        <w:tc>
          <w:tcPr>
            <w:tcW w:w="1738" w:type="dxa"/>
            <w:tcBorders>
              <w:top w:val="nil"/>
              <w:left w:val="single" w:sz="4" w:space="0" w:color="3C3C3C"/>
              <w:bottom w:val="nil"/>
              <w:right w:val="nil"/>
            </w:tcBorders>
            <w:shd w:val="clear" w:color="auto" w:fill="auto"/>
            <w:noWrap/>
            <w:vAlign w:val="bottom"/>
            <w:hideMark/>
          </w:tcPr>
          <w:p w14:paraId="5BD076EB" w14:textId="77777777" w:rsidR="004E3103" w:rsidRPr="002B2821" w:rsidRDefault="004E3103" w:rsidP="004E3103">
            <w:pPr>
              <w:spacing w:after="0" w:line="240" w:lineRule="auto"/>
              <w:rPr>
                <w:lang w:eastAsia="en-GB"/>
              </w:rPr>
            </w:pPr>
          </w:p>
        </w:tc>
        <w:tc>
          <w:tcPr>
            <w:tcW w:w="982" w:type="dxa"/>
            <w:tcBorders>
              <w:top w:val="nil"/>
              <w:left w:val="nil"/>
              <w:bottom w:val="nil"/>
              <w:right w:val="single" w:sz="4" w:space="0" w:color="3C3C3C"/>
            </w:tcBorders>
            <w:shd w:val="clear" w:color="auto" w:fill="auto"/>
            <w:noWrap/>
            <w:vAlign w:val="bottom"/>
            <w:hideMark/>
          </w:tcPr>
          <w:p w14:paraId="676EF1D5" w14:textId="77777777" w:rsidR="004E3103" w:rsidRPr="002B2821" w:rsidRDefault="004E3103" w:rsidP="004E3103">
            <w:pPr>
              <w:spacing w:after="0" w:line="240" w:lineRule="auto"/>
              <w:rPr>
                <w:lang w:eastAsia="en-GB"/>
              </w:rPr>
            </w:pPr>
          </w:p>
        </w:tc>
        <w:tc>
          <w:tcPr>
            <w:tcW w:w="1240" w:type="dxa"/>
            <w:tcBorders>
              <w:top w:val="nil"/>
              <w:left w:val="single" w:sz="4" w:space="0" w:color="3C3C3C"/>
              <w:bottom w:val="nil"/>
              <w:right w:val="nil"/>
            </w:tcBorders>
            <w:shd w:val="clear" w:color="auto" w:fill="auto"/>
            <w:noWrap/>
            <w:vAlign w:val="bottom"/>
            <w:hideMark/>
          </w:tcPr>
          <w:p w14:paraId="264057C4"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0D73B673"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2B2B0EC1" w14:textId="77777777" w:rsidR="004E3103" w:rsidRPr="002B2821" w:rsidRDefault="004E3103" w:rsidP="004E3103">
            <w:pPr>
              <w:spacing w:after="0" w:line="240" w:lineRule="auto"/>
              <w:rPr>
                <w:lang w:eastAsia="en-GB"/>
              </w:rPr>
            </w:pPr>
          </w:p>
        </w:tc>
      </w:tr>
      <w:tr w:rsidR="004E3103" w:rsidRPr="002B2821" w14:paraId="4927E642" w14:textId="77777777" w:rsidTr="000E7AE0">
        <w:trPr>
          <w:trHeight w:val="255"/>
        </w:trPr>
        <w:tc>
          <w:tcPr>
            <w:tcW w:w="3336" w:type="dxa"/>
            <w:gridSpan w:val="2"/>
            <w:tcBorders>
              <w:top w:val="nil"/>
              <w:left w:val="nil"/>
              <w:bottom w:val="nil"/>
              <w:right w:val="single" w:sz="4" w:space="0" w:color="3C3C3C"/>
            </w:tcBorders>
            <w:shd w:val="clear" w:color="auto" w:fill="auto"/>
            <w:noWrap/>
            <w:vAlign w:val="bottom"/>
            <w:hideMark/>
          </w:tcPr>
          <w:p w14:paraId="496A37B9" w14:textId="63BA8A3A" w:rsidR="004E3103" w:rsidRPr="002B2821" w:rsidRDefault="004E3103" w:rsidP="005D5AEC">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Balance as at 30 September 201</w:t>
            </w:r>
            <w:r w:rsidR="005D5AEC" w:rsidRPr="002B2821">
              <w:rPr>
                <w:rFonts w:ascii="Calibri" w:hAnsi="Calibri" w:cs="Arial"/>
                <w:b/>
                <w:bCs/>
                <w:color w:val="000000"/>
                <w:sz w:val="22"/>
                <w:szCs w:val="22"/>
                <w:lang w:eastAsia="en-GB"/>
              </w:rPr>
              <w:t>8</w:t>
            </w:r>
          </w:p>
        </w:tc>
        <w:tc>
          <w:tcPr>
            <w:tcW w:w="1738" w:type="dxa"/>
            <w:tcBorders>
              <w:top w:val="single" w:sz="4" w:space="0" w:color="000000"/>
              <w:left w:val="single" w:sz="4" w:space="0" w:color="3C3C3C"/>
              <w:bottom w:val="single" w:sz="4" w:space="0" w:color="3C3C3C"/>
              <w:right w:val="nil"/>
            </w:tcBorders>
            <w:shd w:val="clear" w:color="auto" w:fill="auto"/>
            <w:noWrap/>
            <w:vAlign w:val="bottom"/>
            <w:hideMark/>
          </w:tcPr>
          <w:p w14:paraId="0AE889EE" w14:textId="77777777" w:rsidR="004E3103" w:rsidRPr="002B2821" w:rsidRDefault="004E3103"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6,681</w:t>
            </w:r>
          </w:p>
        </w:tc>
        <w:tc>
          <w:tcPr>
            <w:tcW w:w="982" w:type="dxa"/>
            <w:tcBorders>
              <w:top w:val="single" w:sz="4" w:space="0" w:color="000000"/>
              <w:left w:val="nil"/>
              <w:bottom w:val="single" w:sz="4" w:space="0" w:color="3C3C3C"/>
              <w:right w:val="single" w:sz="4" w:space="0" w:color="3C3C3C"/>
            </w:tcBorders>
            <w:shd w:val="clear" w:color="auto" w:fill="auto"/>
            <w:noWrap/>
            <w:vAlign w:val="bottom"/>
            <w:hideMark/>
          </w:tcPr>
          <w:p w14:paraId="16001B26" w14:textId="77777777" w:rsidR="004E3103" w:rsidRPr="002B2821" w:rsidRDefault="004E3103"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157,746</w:t>
            </w:r>
          </w:p>
        </w:tc>
        <w:tc>
          <w:tcPr>
            <w:tcW w:w="1240" w:type="dxa"/>
            <w:tcBorders>
              <w:top w:val="single" w:sz="4" w:space="0" w:color="000000"/>
              <w:left w:val="single" w:sz="4" w:space="0" w:color="3C3C3C"/>
              <w:bottom w:val="single" w:sz="4" w:space="0" w:color="000000"/>
              <w:right w:val="nil"/>
            </w:tcBorders>
            <w:shd w:val="clear" w:color="auto" w:fill="auto"/>
            <w:noWrap/>
            <w:vAlign w:val="bottom"/>
            <w:hideMark/>
          </w:tcPr>
          <w:p w14:paraId="1D1E3050" w14:textId="77777777" w:rsidR="004E3103" w:rsidRPr="002B2821" w:rsidRDefault="004E3103"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(436)</w:t>
            </w:r>
          </w:p>
        </w:tc>
        <w:tc>
          <w:tcPr>
            <w:tcW w:w="1120" w:type="dxa"/>
            <w:tcBorders>
              <w:top w:val="single" w:sz="4" w:space="0" w:color="000000"/>
              <w:left w:val="nil"/>
              <w:bottom w:val="single" w:sz="4" w:space="0" w:color="000000"/>
              <w:right w:val="nil"/>
            </w:tcBorders>
            <w:shd w:val="clear" w:color="auto" w:fill="auto"/>
            <w:noWrap/>
            <w:vAlign w:val="bottom"/>
            <w:hideMark/>
          </w:tcPr>
          <w:p w14:paraId="2A3026AF" w14:textId="77777777" w:rsidR="004E3103" w:rsidRPr="002B2821" w:rsidRDefault="004E3103"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163,991</w:t>
            </w:r>
          </w:p>
        </w:tc>
        <w:tc>
          <w:tcPr>
            <w:tcW w:w="222" w:type="dxa"/>
            <w:tcBorders>
              <w:top w:val="nil"/>
              <w:left w:val="nil"/>
              <w:bottom w:val="nil"/>
              <w:right w:val="nil"/>
            </w:tcBorders>
            <w:shd w:val="clear" w:color="auto" w:fill="auto"/>
            <w:noWrap/>
            <w:vAlign w:val="bottom"/>
            <w:hideMark/>
          </w:tcPr>
          <w:p w14:paraId="1448D534" w14:textId="77777777" w:rsidR="004E3103" w:rsidRPr="002B2821" w:rsidRDefault="004E3103" w:rsidP="004E3103">
            <w:pPr>
              <w:spacing w:after="0" w:line="240" w:lineRule="auto"/>
              <w:jc w:val="right"/>
              <w:rPr>
                <w:rFonts w:ascii="Calibri" w:hAnsi="Calibri" w:cs="Arial"/>
                <w:b/>
                <w:bCs/>
                <w:color w:val="000000"/>
                <w:sz w:val="22"/>
                <w:szCs w:val="22"/>
                <w:lang w:eastAsia="en-GB"/>
              </w:rPr>
            </w:pPr>
          </w:p>
        </w:tc>
      </w:tr>
      <w:tr w:rsidR="004E3103" w:rsidRPr="002B2821" w14:paraId="5FA623F1" w14:textId="77777777" w:rsidTr="000E7AE0">
        <w:trPr>
          <w:trHeight w:val="255"/>
        </w:trPr>
        <w:tc>
          <w:tcPr>
            <w:tcW w:w="2148" w:type="dxa"/>
            <w:tcBorders>
              <w:top w:val="nil"/>
              <w:left w:val="nil"/>
              <w:bottom w:val="nil"/>
              <w:right w:val="nil"/>
            </w:tcBorders>
            <w:shd w:val="clear" w:color="auto" w:fill="auto"/>
            <w:noWrap/>
            <w:vAlign w:val="bottom"/>
            <w:hideMark/>
          </w:tcPr>
          <w:p w14:paraId="1AB95EED" w14:textId="77777777" w:rsidR="004E3103" w:rsidRPr="002B2821" w:rsidRDefault="004E3103" w:rsidP="004E3103">
            <w:pPr>
              <w:spacing w:after="0" w:line="240" w:lineRule="auto"/>
              <w:rPr>
                <w:lang w:eastAsia="en-GB"/>
              </w:rPr>
            </w:pPr>
          </w:p>
        </w:tc>
        <w:tc>
          <w:tcPr>
            <w:tcW w:w="1188" w:type="dxa"/>
            <w:tcBorders>
              <w:top w:val="nil"/>
              <w:left w:val="nil"/>
              <w:bottom w:val="nil"/>
              <w:right w:val="nil"/>
            </w:tcBorders>
            <w:shd w:val="clear" w:color="auto" w:fill="auto"/>
            <w:noWrap/>
            <w:vAlign w:val="bottom"/>
            <w:hideMark/>
          </w:tcPr>
          <w:p w14:paraId="547B619E" w14:textId="77777777" w:rsidR="004E3103" w:rsidRPr="002B2821" w:rsidRDefault="004E3103" w:rsidP="004E3103">
            <w:pPr>
              <w:spacing w:after="0" w:line="240" w:lineRule="auto"/>
              <w:rPr>
                <w:lang w:eastAsia="en-GB"/>
              </w:rPr>
            </w:pPr>
          </w:p>
        </w:tc>
        <w:tc>
          <w:tcPr>
            <w:tcW w:w="1738" w:type="dxa"/>
            <w:tcBorders>
              <w:top w:val="single" w:sz="4" w:space="0" w:color="3C3C3C"/>
              <w:left w:val="nil"/>
              <w:bottom w:val="nil"/>
              <w:right w:val="nil"/>
            </w:tcBorders>
            <w:shd w:val="clear" w:color="auto" w:fill="auto"/>
            <w:noWrap/>
            <w:vAlign w:val="bottom"/>
            <w:hideMark/>
          </w:tcPr>
          <w:p w14:paraId="1C5CDB18" w14:textId="793AF0E0" w:rsidR="004E3103" w:rsidRPr="002B2821" w:rsidRDefault="00393353" w:rsidP="004E3103">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n</w:t>
            </w:r>
            <w:r w:rsidR="004E3103" w:rsidRPr="002B2821">
              <w:rPr>
                <w:rFonts w:ascii="Calibri" w:hAnsi="Calibri" w:cs="Arial"/>
                <w:color w:val="000000"/>
                <w:sz w:val="22"/>
                <w:szCs w:val="22"/>
                <w:lang w:eastAsia="en-GB"/>
              </w:rPr>
              <w:t>ote 11</w:t>
            </w:r>
          </w:p>
        </w:tc>
        <w:tc>
          <w:tcPr>
            <w:tcW w:w="982" w:type="dxa"/>
            <w:tcBorders>
              <w:top w:val="single" w:sz="4" w:space="0" w:color="3C3C3C"/>
              <w:left w:val="nil"/>
              <w:bottom w:val="nil"/>
              <w:right w:val="nil"/>
            </w:tcBorders>
            <w:shd w:val="clear" w:color="auto" w:fill="auto"/>
            <w:noWrap/>
            <w:vAlign w:val="bottom"/>
            <w:hideMark/>
          </w:tcPr>
          <w:p w14:paraId="314DE264" w14:textId="77777777" w:rsidR="004E3103" w:rsidRPr="002B2821" w:rsidRDefault="004E3103" w:rsidP="004E3103">
            <w:pPr>
              <w:spacing w:after="0" w:line="240" w:lineRule="auto"/>
              <w:jc w:val="right"/>
              <w:rPr>
                <w:rFonts w:ascii="Calibri" w:hAnsi="Calibri" w:cs="Arial"/>
                <w:color w:val="000000"/>
                <w:sz w:val="22"/>
                <w:szCs w:val="22"/>
                <w:lang w:eastAsia="en-GB"/>
              </w:rPr>
            </w:pPr>
          </w:p>
        </w:tc>
        <w:tc>
          <w:tcPr>
            <w:tcW w:w="1240" w:type="dxa"/>
            <w:tcBorders>
              <w:top w:val="nil"/>
              <w:left w:val="nil"/>
              <w:bottom w:val="nil"/>
              <w:right w:val="nil"/>
            </w:tcBorders>
            <w:shd w:val="clear" w:color="auto" w:fill="auto"/>
            <w:noWrap/>
            <w:vAlign w:val="bottom"/>
            <w:hideMark/>
          </w:tcPr>
          <w:p w14:paraId="13F2D26C"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657F46A2"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5EC5A70A" w14:textId="77777777" w:rsidR="004E3103" w:rsidRPr="002B2821" w:rsidRDefault="004E3103" w:rsidP="004E3103">
            <w:pPr>
              <w:spacing w:after="0" w:line="240" w:lineRule="auto"/>
              <w:rPr>
                <w:lang w:eastAsia="en-GB"/>
              </w:rPr>
            </w:pPr>
          </w:p>
        </w:tc>
      </w:tr>
      <w:tr w:rsidR="004E3103" w:rsidRPr="002B2821" w14:paraId="56B3AF9C" w14:textId="77777777" w:rsidTr="0065093C">
        <w:trPr>
          <w:trHeight w:val="255"/>
        </w:trPr>
        <w:tc>
          <w:tcPr>
            <w:tcW w:w="2148" w:type="dxa"/>
            <w:tcBorders>
              <w:top w:val="nil"/>
              <w:left w:val="nil"/>
              <w:bottom w:val="nil"/>
              <w:right w:val="nil"/>
            </w:tcBorders>
            <w:shd w:val="clear" w:color="auto" w:fill="auto"/>
            <w:noWrap/>
            <w:vAlign w:val="bottom"/>
            <w:hideMark/>
          </w:tcPr>
          <w:p w14:paraId="03BDB151" w14:textId="77777777" w:rsidR="004E3103" w:rsidRPr="002B2821" w:rsidRDefault="004E3103" w:rsidP="004E3103">
            <w:pPr>
              <w:spacing w:after="0" w:line="240" w:lineRule="auto"/>
              <w:rPr>
                <w:lang w:eastAsia="en-GB"/>
              </w:rPr>
            </w:pPr>
          </w:p>
        </w:tc>
        <w:tc>
          <w:tcPr>
            <w:tcW w:w="1188" w:type="dxa"/>
            <w:tcBorders>
              <w:top w:val="nil"/>
              <w:left w:val="nil"/>
              <w:bottom w:val="nil"/>
              <w:right w:val="nil"/>
            </w:tcBorders>
            <w:shd w:val="clear" w:color="auto" w:fill="auto"/>
            <w:noWrap/>
            <w:vAlign w:val="bottom"/>
            <w:hideMark/>
          </w:tcPr>
          <w:p w14:paraId="1F481EF5" w14:textId="77777777" w:rsidR="004E3103" w:rsidRPr="002B2821" w:rsidRDefault="004E3103" w:rsidP="004E3103">
            <w:pPr>
              <w:spacing w:after="0" w:line="240" w:lineRule="auto"/>
              <w:rPr>
                <w:lang w:eastAsia="en-GB"/>
              </w:rPr>
            </w:pPr>
          </w:p>
        </w:tc>
        <w:tc>
          <w:tcPr>
            <w:tcW w:w="1738" w:type="dxa"/>
            <w:tcBorders>
              <w:top w:val="nil"/>
              <w:left w:val="nil"/>
              <w:bottom w:val="nil"/>
              <w:right w:val="nil"/>
            </w:tcBorders>
            <w:shd w:val="clear" w:color="auto" w:fill="auto"/>
            <w:noWrap/>
            <w:vAlign w:val="bottom"/>
            <w:hideMark/>
          </w:tcPr>
          <w:p w14:paraId="2CD86F20" w14:textId="77777777" w:rsidR="004E3103" w:rsidRPr="002B2821" w:rsidRDefault="004E3103" w:rsidP="004E3103">
            <w:pPr>
              <w:spacing w:after="0" w:line="240" w:lineRule="auto"/>
              <w:rPr>
                <w:lang w:eastAsia="en-GB"/>
              </w:rPr>
            </w:pPr>
          </w:p>
        </w:tc>
        <w:tc>
          <w:tcPr>
            <w:tcW w:w="982" w:type="dxa"/>
            <w:tcBorders>
              <w:top w:val="nil"/>
              <w:left w:val="nil"/>
              <w:bottom w:val="nil"/>
              <w:right w:val="nil"/>
            </w:tcBorders>
            <w:shd w:val="clear" w:color="auto" w:fill="auto"/>
            <w:noWrap/>
            <w:vAlign w:val="bottom"/>
            <w:hideMark/>
          </w:tcPr>
          <w:p w14:paraId="062BFB77" w14:textId="77777777" w:rsidR="004E3103" w:rsidRPr="002B2821" w:rsidRDefault="004E3103" w:rsidP="004E3103">
            <w:pPr>
              <w:spacing w:after="0" w:line="240" w:lineRule="auto"/>
              <w:rPr>
                <w:lang w:eastAsia="en-GB"/>
              </w:rPr>
            </w:pPr>
          </w:p>
        </w:tc>
        <w:tc>
          <w:tcPr>
            <w:tcW w:w="1240" w:type="dxa"/>
            <w:tcBorders>
              <w:top w:val="nil"/>
              <w:left w:val="nil"/>
              <w:bottom w:val="nil"/>
              <w:right w:val="nil"/>
            </w:tcBorders>
            <w:shd w:val="clear" w:color="auto" w:fill="auto"/>
            <w:noWrap/>
            <w:vAlign w:val="bottom"/>
            <w:hideMark/>
          </w:tcPr>
          <w:p w14:paraId="605AB9BA" w14:textId="77777777" w:rsidR="004E3103" w:rsidRPr="002B2821" w:rsidRDefault="004E3103" w:rsidP="004E3103">
            <w:pPr>
              <w:spacing w:after="0" w:line="240" w:lineRule="auto"/>
              <w:rPr>
                <w:lang w:eastAsia="en-GB"/>
              </w:rPr>
            </w:pPr>
          </w:p>
        </w:tc>
        <w:tc>
          <w:tcPr>
            <w:tcW w:w="1120" w:type="dxa"/>
            <w:tcBorders>
              <w:top w:val="nil"/>
              <w:left w:val="nil"/>
              <w:bottom w:val="nil"/>
              <w:right w:val="nil"/>
            </w:tcBorders>
            <w:shd w:val="clear" w:color="auto" w:fill="auto"/>
            <w:noWrap/>
            <w:vAlign w:val="bottom"/>
            <w:hideMark/>
          </w:tcPr>
          <w:p w14:paraId="139408F0" w14:textId="77777777" w:rsidR="004E3103" w:rsidRPr="002B2821" w:rsidRDefault="004E3103" w:rsidP="004E3103">
            <w:pPr>
              <w:spacing w:after="0" w:line="240" w:lineRule="auto"/>
              <w:rPr>
                <w:lang w:eastAsia="en-GB"/>
              </w:rPr>
            </w:pPr>
          </w:p>
        </w:tc>
        <w:tc>
          <w:tcPr>
            <w:tcW w:w="222" w:type="dxa"/>
            <w:tcBorders>
              <w:top w:val="nil"/>
              <w:left w:val="nil"/>
              <w:bottom w:val="nil"/>
              <w:right w:val="nil"/>
            </w:tcBorders>
            <w:shd w:val="clear" w:color="auto" w:fill="auto"/>
            <w:noWrap/>
            <w:vAlign w:val="bottom"/>
            <w:hideMark/>
          </w:tcPr>
          <w:p w14:paraId="31279609" w14:textId="77777777" w:rsidR="004E3103" w:rsidRPr="002B2821" w:rsidRDefault="004E3103" w:rsidP="004E3103">
            <w:pPr>
              <w:spacing w:after="0" w:line="240" w:lineRule="auto"/>
              <w:rPr>
                <w:lang w:eastAsia="en-GB"/>
              </w:rPr>
            </w:pPr>
          </w:p>
        </w:tc>
      </w:tr>
    </w:tbl>
    <w:p w14:paraId="3437CFC7" w14:textId="77777777" w:rsidR="004E3103" w:rsidRPr="002B2821" w:rsidRDefault="004E3103" w:rsidP="005F6911">
      <w:pPr>
        <w:pStyle w:val="BodyText"/>
        <w:spacing w:before="100" w:beforeAutospacing="1" w:after="100" w:afterAutospacing="1" w:line="240" w:lineRule="auto"/>
        <w:rPr>
          <w:rFonts w:asciiTheme="minorHAnsi" w:hAnsiTheme="minorHAnsi" w:cs="Arial"/>
          <w:b/>
          <w:bCs/>
          <w:color w:val="442359"/>
          <w:sz w:val="24"/>
          <w:szCs w:val="24"/>
        </w:rPr>
      </w:pPr>
    </w:p>
    <w:p w14:paraId="722B4D17" w14:textId="77777777" w:rsidR="004E3103" w:rsidRPr="002B2821" w:rsidRDefault="004E3103">
      <w:pPr>
        <w:pStyle w:val="BodyText"/>
        <w:spacing w:after="0" w:line="240" w:lineRule="auto"/>
        <w:rPr>
          <w:rFonts w:asciiTheme="minorHAnsi" w:hAnsiTheme="minorHAnsi" w:cs="Arial"/>
          <w:b/>
          <w:color w:val="442359"/>
          <w:sz w:val="24"/>
          <w:szCs w:val="24"/>
        </w:rPr>
      </w:pPr>
    </w:p>
    <w:p w14:paraId="3EE3C0A3" w14:textId="77777777" w:rsidR="00E72D30" w:rsidRDefault="00E72D30">
      <w:pPr>
        <w:pStyle w:val="BodyText"/>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2E26CCBC" w14:textId="51D3A167" w:rsidR="00586EBB" w:rsidRPr="002B2821" w:rsidRDefault="00D45B11">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4E3103" w:rsidRPr="002B2821">
        <w:rPr>
          <w:rFonts w:asciiTheme="minorHAnsi" w:hAnsiTheme="minorHAnsi" w:cs="Arial"/>
          <w:b/>
          <w:color w:val="442359"/>
          <w:sz w:val="24"/>
          <w:szCs w:val="24"/>
        </w:rPr>
        <w:t>8</w:t>
      </w:r>
      <w:r w:rsidRPr="002B2821">
        <w:rPr>
          <w:rFonts w:asciiTheme="minorHAnsi" w:hAnsiTheme="minorHAnsi" w:cs="Arial"/>
          <w:b/>
          <w:color w:val="442359"/>
          <w:sz w:val="24"/>
          <w:szCs w:val="24"/>
        </w:rPr>
        <w:t xml:space="preserve"> (continued)</w:t>
      </w:r>
    </w:p>
    <w:p w14:paraId="295A6C9D" w14:textId="27FD660A" w:rsidR="004E3103" w:rsidRPr="002B2821" w:rsidRDefault="004E3103" w:rsidP="004E3103">
      <w:pPr>
        <w:pStyle w:val="BodyText"/>
        <w:spacing w:before="100" w:beforeAutospacing="1" w:after="100" w:afterAutospacing="1" w:line="240" w:lineRule="auto"/>
        <w:rPr>
          <w:rFonts w:asciiTheme="minorHAnsi" w:hAnsiTheme="minorHAnsi" w:cs="Arial"/>
          <w:b/>
          <w:bCs/>
          <w:color w:val="442359"/>
          <w:sz w:val="24"/>
          <w:szCs w:val="24"/>
        </w:rPr>
      </w:pPr>
      <w:r w:rsidRPr="002B2821">
        <w:rPr>
          <w:rFonts w:asciiTheme="minorHAnsi" w:hAnsiTheme="minorHAnsi" w:cs="Arial"/>
          <w:b/>
          <w:bCs/>
          <w:color w:val="442359"/>
          <w:sz w:val="24"/>
          <w:szCs w:val="24"/>
        </w:rPr>
        <w:t>10   Trust Fund including comparatives (continued)</w:t>
      </w:r>
    </w:p>
    <w:tbl>
      <w:tblPr>
        <w:tblW w:w="8645" w:type="dxa"/>
        <w:tblLook w:val="04A0" w:firstRow="1" w:lastRow="0" w:firstColumn="1" w:lastColumn="0" w:noHBand="0" w:noVBand="1"/>
      </w:tblPr>
      <w:tblGrid>
        <w:gridCol w:w="2148"/>
        <w:gridCol w:w="1396"/>
        <w:gridCol w:w="1537"/>
        <w:gridCol w:w="982"/>
        <w:gridCol w:w="1240"/>
        <w:gridCol w:w="1120"/>
        <w:gridCol w:w="222"/>
      </w:tblGrid>
      <w:tr w:rsidR="004E3103" w:rsidRPr="002B2821" w14:paraId="2385B07E" w14:textId="77777777" w:rsidTr="000E7AE0">
        <w:trPr>
          <w:trHeight w:val="300"/>
        </w:trPr>
        <w:tc>
          <w:tcPr>
            <w:tcW w:w="2148" w:type="dxa"/>
            <w:shd w:val="clear" w:color="auto" w:fill="auto"/>
            <w:noWrap/>
            <w:vAlign w:val="bottom"/>
            <w:hideMark/>
          </w:tcPr>
          <w:p w14:paraId="562BD44B" w14:textId="77777777" w:rsidR="004E3103" w:rsidRPr="002B2821" w:rsidRDefault="004E3103" w:rsidP="004E3103">
            <w:pPr>
              <w:spacing w:after="0" w:line="240" w:lineRule="auto"/>
              <w:rPr>
                <w:sz w:val="24"/>
                <w:szCs w:val="24"/>
                <w:lang w:eastAsia="en-GB"/>
              </w:rPr>
            </w:pPr>
          </w:p>
        </w:tc>
        <w:tc>
          <w:tcPr>
            <w:tcW w:w="1396" w:type="dxa"/>
            <w:tcBorders>
              <w:right w:val="single" w:sz="4" w:space="0" w:color="3C3C3C"/>
            </w:tcBorders>
            <w:shd w:val="clear" w:color="auto" w:fill="auto"/>
            <w:noWrap/>
            <w:vAlign w:val="bottom"/>
            <w:hideMark/>
          </w:tcPr>
          <w:p w14:paraId="6A7C17C9" w14:textId="77777777" w:rsidR="004E3103" w:rsidRPr="002B2821" w:rsidRDefault="004E3103" w:rsidP="004E3103">
            <w:pPr>
              <w:spacing w:after="0" w:line="240" w:lineRule="auto"/>
              <w:rPr>
                <w:lang w:eastAsia="en-GB"/>
              </w:rPr>
            </w:pPr>
          </w:p>
        </w:tc>
        <w:tc>
          <w:tcPr>
            <w:tcW w:w="2519" w:type="dxa"/>
            <w:gridSpan w:val="2"/>
            <w:tcBorders>
              <w:top w:val="single" w:sz="4" w:space="0" w:color="3C3C3C"/>
              <w:left w:val="single" w:sz="4" w:space="0" w:color="3C3C3C"/>
              <w:right w:val="single" w:sz="4" w:space="0" w:color="3C3C3C"/>
            </w:tcBorders>
            <w:shd w:val="clear" w:color="auto" w:fill="auto"/>
            <w:noWrap/>
            <w:vAlign w:val="center"/>
            <w:hideMark/>
          </w:tcPr>
          <w:p w14:paraId="35A9725B" w14:textId="77777777" w:rsidR="004E3103" w:rsidRPr="002B2821" w:rsidRDefault="004E3103" w:rsidP="004E3103">
            <w:pPr>
              <w:spacing w:after="0" w:line="240" w:lineRule="auto"/>
              <w:jc w:val="center"/>
              <w:rPr>
                <w:rFonts w:ascii="Calibri" w:hAnsi="Calibri" w:cs="Arial"/>
                <w:b/>
                <w:bCs/>
                <w:color w:val="333399"/>
                <w:sz w:val="22"/>
                <w:szCs w:val="22"/>
                <w:lang w:eastAsia="en-GB"/>
              </w:rPr>
            </w:pPr>
            <w:r w:rsidRPr="000E7AE0">
              <w:rPr>
                <w:rFonts w:ascii="Calibri" w:hAnsi="Calibri" w:cs="Arial"/>
                <w:b/>
                <w:bCs/>
                <w:color w:val="333399"/>
                <w:sz w:val="24"/>
                <w:szCs w:val="22"/>
                <w:lang w:eastAsia="en-GB"/>
              </w:rPr>
              <w:t>Unrestricted funds</w:t>
            </w:r>
          </w:p>
        </w:tc>
        <w:tc>
          <w:tcPr>
            <w:tcW w:w="1240" w:type="dxa"/>
            <w:tcBorders>
              <w:left w:val="single" w:sz="4" w:space="0" w:color="3C3C3C"/>
            </w:tcBorders>
            <w:shd w:val="clear" w:color="auto" w:fill="auto"/>
            <w:noWrap/>
            <w:vAlign w:val="bottom"/>
            <w:hideMark/>
          </w:tcPr>
          <w:p w14:paraId="4094DBF5" w14:textId="77777777" w:rsidR="004E3103" w:rsidRPr="002B2821" w:rsidRDefault="004E3103" w:rsidP="004E3103">
            <w:pPr>
              <w:spacing w:after="0" w:line="240" w:lineRule="auto"/>
              <w:jc w:val="center"/>
              <w:rPr>
                <w:rFonts w:ascii="Calibri" w:hAnsi="Calibri" w:cs="Arial"/>
                <w:b/>
                <w:bCs/>
                <w:color w:val="333399"/>
                <w:sz w:val="22"/>
                <w:szCs w:val="22"/>
                <w:lang w:eastAsia="en-GB"/>
              </w:rPr>
            </w:pPr>
          </w:p>
        </w:tc>
        <w:tc>
          <w:tcPr>
            <w:tcW w:w="1120" w:type="dxa"/>
            <w:shd w:val="clear" w:color="auto" w:fill="auto"/>
            <w:noWrap/>
            <w:vAlign w:val="bottom"/>
            <w:hideMark/>
          </w:tcPr>
          <w:p w14:paraId="29C72A1C"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58A7416C" w14:textId="77777777" w:rsidR="004E3103" w:rsidRPr="002B2821" w:rsidRDefault="004E3103" w:rsidP="004E3103">
            <w:pPr>
              <w:spacing w:after="0" w:line="240" w:lineRule="auto"/>
              <w:rPr>
                <w:lang w:eastAsia="en-GB"/>
              </w:rPr>
            </w:pPr>
          </w:p>
        </w:tc>
      </w:tr>
      <w:tr w:rsidR="0065093C" w:rsidRPr="002B2821" w14:paraId="3B9BECCF" w14:textId="77777777" w:rsidTr="000E7AE0">
        <w:trPr>
          <w:trHeight w:val="300"/>
        </w:trPr>
        <w:tc>
          <w:tcPr>
            <w:tcW w:w="2148" w:type="dxa"/>
            <w:shd w:val="clear" w:color="auto" w:fill="auto"/>
            <w:noWrap/>
            <w:vAlign w:val="bottom"/>
            <w:hideMark/>
          </w:tcPr>
          <w:p w14:paraId="48895BF5" w14:textId="77777777" w:rsidR="0065093C" w:rsidRPr="002B2821" w:rsidRDefault="0065093C" w:rsidP="0065093C">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Comparatives</w:t>
            </w:r>
          </w:p>
        </w:tc>
        <w:tc>
          <w:tcPr>
            <w:tcW w:w="1396" w:type="dxa"/>
            <w:tcBorders>
              <w:right w:val="single" w:sz="4" w:space="0" w:color="3C3C3C"/>
            </w:tcBorders>
            <w:shd w:val="clear" w:color="auto" w:fill="auto"/>
            <w:noWrap/>
            <w:vAlign w:val="bottom"/>
            <w:hideMark/>
          </w:tcPr>
          <w:p w14:paraId="58999474" w14:textId="77777777" w:rsidR="0065093C" w:rsidRPr="002B2821" w:rsidRDefault="0065093C" w:rsidP="0065093C">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16E106CD" w14:textId="1FA73411"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982" w:type="dxa"/>
            <w:tcBorders>
              <w:right w:val="single" w:sz="4" w:space="0" w:color="3C3C3C"/>
            </w:tcBorders>
            <w:shd w:val="clear" w:color="auto" w:fill="auto"/>
            <w:noWrap/>
            <w:vAlign w:val="bottom"/>
            <w:hideMark/>
          </w:tcPr>
          <w:p w14:paraId="51CEA616"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General</w:t>
            </w:r>
          </w:p>
        </w:tc>
        <w:tc>
          <w:tcPr>
            <w:tcW w:w="1240" w:type="dxa"/>
            <w:tcBorders>
              <w:left w:val="single" w:sz="4" w:space="0" w:color="3C3C3C"/>
            </w:tcBorders>
            <w:shd w:val="clear" w:color="auto" w:fill="auto"/>
            <w:noWrap/>
            <w:vAlign w:val="bottom"/>
            <w:hideMark/>
          </w:tcPr>
          <w:p w14:paraId="7FC67BFF"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Restricted</w:t>
            </w:r>
          </w:p>
        </w:tc>
        <w:tc>
          <w:tcPr>
            <w:tcW w:w="1120" w:type="dxa"/>
            <w:shd w:val="clear" w:color="auto" w:fill="auto"/>
            <w:noWrap/>
            <w:vAlign w:val="bottom"/>
            <w:hideMark/>
          </w:tcPr>
          <w:p w14:paraId="7C8FD5F3"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Total</w:t>
            </w:r>
          </w:p>
        </w:tc>
        <w:tc>
          <w:tcPr>
            <w:tcW w:w="222" w:type="dxa"/>
            <w:shd w:val="clear" w:color="auto" w:fill="auto"/>
            <w:noWrap/>
            <w:vAlign w:val="bottom"/>
            <w:hideMark/>
          </w:tcPr>
          <w:p w14:paraId="350FD645"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65093C" w:rsidRPr="002B2821" w14:paraId="793181DC" w14:textId="77777777" w:rsidTr="000E7AE0">
        <w:trPr>
          <w:trHeight w:val="300"/>
        </w:trPr>
        <w:tc>
          <w:tcPr>
            <w:tcW w:w="2148" w:type="dxa"/>
            <w:shd w:val="clear" w:color="auto" w:fill="auto"/>
            <w:noWrap/>
            <w:vAlign w:val="bottom"/>
            <w:hideMark/>
          </w:tcPr>
          <w:p w14:paraId="67D88F92" w14:textId="77777777" w:rsidR="0065093C" w:rsidRPr="002B2821" w:rsidRDefault="0065093C" w:rsidP="0065093C">
            <w:pPr>
              <w:spacing w:after="0" w:line="240" w:lineRule="auto"/>
              <w:rPr>
                <w:lang w:eastAsia="en-GB"/>
              </w:rPr>
            </w:pPr>
          </w:p>
        </w:tc>
        <w:tc>
          <w:tcPr>
            <w:tcW w:w="1396" w:type="dxa"/>
            <w:tcBorders>
              <w:right w:val="single" w:sz="4" w:space="0" w:color="3C3C3C"/>
            </w:tcBorders>
            <w:shd w:val="clear" w:color="auto" w:fill="auto"/>
            <w:noWrap/>
            <w:vAlign w:val="bottom"/>
            <w:hideMark/>
          </w:tcPr>
          <w:p w14:paraId="7A08D417" w14:textId="77777777" w:rsidR="0065093C" w:rsidRPr="002B2821" w:rsidRDefault="0065093C" w:rsidP="0065093C">
            <w:pPr>
              <w:spacing w:after="0" w:line="240" w:lineRule="auto"/>
              <w:rPr>
                <w:lang w:eastAsia="en-GB"/>
              </w:rPr>
            </w:pPr>
          </w:p>
        </w:tc>
        <w:tc>
          <w:tcPr>
            <w:tcW w:w="1537" w:type="dxa"/>
            <w:tcBorders>
              <w:left w:val="single" w:sz="4" w:space="0" w:color="3C3C3C"/>
            </w:tcBorders>
            <w:shd w:val="clear" w:color="auto" w:fill="auto"/>
            <w:noWrap/>
            <w:vAlign w:val="bottom"/>
            <w:hideMark/>
          </w:tcPr>
          <w:p w14:paraId="3FBD6074" w14:textId="4B3409A6" w:rsidR="0065093C" w:rsidRPr="002B2821" w:rsidRDefault="0065093C" w:rsidP="0065093C">
            <w:pPr>
              <w:spacing w:after="0" w:line="240" w:lineRule="auto"/>
              <w:jc w:val="right"/>
              <w:rPr>
                <w:rFonts w:ascii="Calibri" w:hAnsi="Calibri" w:cs="Arial"/>
                <w:b/>
                <w:bCs/>
                <w:color w:val="333399"/>
                <w:sz w:val="22"/>
                <w:szCs w:val="22"/>
                <w:lang w:eastAsia="en-GB"/>
              </w:rPr>
            </w:pPr>
            <w:r>
              <w:rPr>
                <w:rFonts w:ascii="Calibri" w:hAnsi="Calibri" w:cs="Arial"/>
                <w:b/>
                <w:bCs/>
                <w:color w:val="333399"/>
                <w:sz w:val="22"/>
                <w:szCs w:val="22"/>
                <w:lang w:eastAsia="en-GB"/>
              </w:rPr>
              <w:t>m</w:t>
            </w:r>
            <w:r w:rsidRPr="0065093C">
              <w:rPr>
                <w:rFonts w:ascii="Calibri" w:hAnsi="Calibri" w:cs="Arial"/>
                <w:b/>
                <w:bCs/>
                <w:color w:val="333399"/>
                <w:sz w:val="22"/>
                <w:szCs w:val="22"/>
                <w:lang w:eastAsia="en-GB"/>
              </w:rPr>
              <w:t>emorandum</w:t>
            </w:r>
          </w:p>
        </w:tc>
        <w:tc>
          <w:tcPr>
            <w:tcW w:w="982" w:type="dxa"/>
            <w:tcBorders>
              <w:right w:val="single" w:sz="4" w:space="0" w:color="3C3C3C"/>
            </w:tcBorders>
            <w:shd w:val="clear" w:color="auto" w:fill="auto"/>
            <w:noWrap/>
            <w:vAlign w:val="bottom"/>
            <w:hideMark/>
          </w:tcPr>
          <w:p w14:paraId="5F2A23C5"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w:t>
            </w:r>
          </w:p>
        </w:tc>
        <w:tc>
          <w:tcPr>
            <w:tcW w:w="1240" w:type="dxa"/>
            <w:tcBorders>
              <w:left w:val="single" w:sz="4" w:space="0" w:color="3C3C3C"/>
            </w:tcBorders>
            <w:shd w:val="clear" w:color="auto" w:fill="auto"/>
            <w:noWrap/>
            <w:vAlign w:val="bottom"/>
            <w:hideMark/>
          </w:tcPr>
          <w:p w14:paraId="6EAB3067"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1120" w:type="dxa"/>
            <w:shd w:val="clear" w:color="auto" w:fill="auto"/>
            <w:noWrap/>
            <w:vAlign w:val="bottom"/>
            <w:hideMark/>
          </w:tcPr>
          <w:p w14:paraId="386CD894" w14:textId="77777777" w:rsidR="0065093C" w:rsidRPr="002B2821" w:rsidRDefault="0065093C" w:rsidP="0065093C">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Trust</w:t>
            </w:r>
          </w:p>
        </w:tc>
        <w:tc>
          <w:tcPr>
            <w:tcW w:w="222" w:type="dxa"/>
            <w:shd w:val="clear" w:color="auto" w:fill="auto"/>
            <w:noWrap/>
            <w:vAlign w:val="bottom"/>
            <w:hideMark/>
          </w:tcPr>
          <w:p w14:paraId="42BD74AA" w14:textId="77777777" w:rsidR="0065093C" w:rsidRPr="002B2821" w:rsidRDefault="0065093C" w:rsidP="0065093C">
            <w:pPr>
              <w:spacing w:after="0" w:line="240" w:lineRule="auto"/>
              <w:jc w:val="right"/>
              <w:rPr>
                <w:rFonts w:ascii="Calibri" w:hAnsi="Calibri" w:cs="Arial"/>
                <w:b/>
                <w:bCs/>
                <w:color w:val="333399"/>
                <w:sz w:val="22"/>
                <w:szCs w:val="22"/>
                <w:lang w:eastAsia="en-GB"/>
              </w:rPr>
            </w:pPr>
          </w:p>
        </w:tc>
      </w:tr>
      <w:tr w:rsidR="004E3103" w:rsidRPr="002B2821" w14:paraId="4B731103" w14:textId="77777777" w:rsidTr="000E7AE0">
        <w:trPr>
          <w:trHeight w:val="300"/>
        </w:trPr>
        <w:tc>
          <w:tcPr>
            <w:tcW w:w="2148" w:type="dxa"/>
            <w:shd w:val="clear" w:color="auto" w:fill="auto"/>
            <w:noWrap/>
            <w:vAlign w:val="bottom"/>
            <w:hideMark/>
          </w:tcPr>
          <w:p w14:paraId="7B4FC888"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3ECD1419" w14:textId="77777777" w:rsidR="004E3103" w:rsidRPr="002B2821" w:rsidRDefault="004E3103" w:rsidP="004E3103">
            <w:pPr>
              <w:spacing w:after="0" w:line="240" w:lineRule="auto"/>
              <w:rPr>
                <w:lang w:eastAsia="en-GB"/>
              </w:rPr>
            </w:pPr>
          </w:p>
        </w:tc>
        <w:tc>
          <w:tcPr>
            <w:tcW w:w="1537" w:type="dxa"/>
            <w:tcBorders>
              <w:left w:val="single" w:sz="4" w:space="0" w:color="3C3C3C"/>
            </w:tcBorders>
            <w:shd w:val="clear" w:color="auto" w:fill="auto"/>
            <w:noWrap/>
            <w:vAlign w:val="bottom"/>
            <w:hideMark/>
          </w:tcPr>
          <w:p w14:paraId="5C88E550"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982" w:type="dxa"/>
            <w:tcBorders>
              <w:right w:val="single" w:sz="4" w:space="0" w:color="3C3C3C"/>
            </w:tcBorders>
            <w:shd w:val="clear" w:color="auto" w:fill="auto"/>
            <w:noWrap/>
            <w:vAlign w:val="bottom"/>
            <w:hideMark/>
          </w:tcPr>
          <w:p w14:paraId="0AD20CED"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c>
          <w:tcPr>
            <w:tcW w:w="1240" w:type="dxa"/>
            <w:tcBorders>
              <w:left w:val="single" w:sz="4" w:space="0" w:color="3C3C3C"/>
            </w:tcBorders>
            <w:shd w:val="clear" w:color="auto" w:fill="auto"/>
            <w:noWrap/>
            <w:vAlign w:val="bottom"/>
            <w:hideMark/>
          </w:tcPr>
          <w:p w14:paraId="374691ED" w14:textId="77777777" w:rsidR="004E3103" w:rsidRPr="002B2821" w:rsidRDefault="004E3103" w:rsidP="004E3103">
            <w:pPr>
              <w:spacing w:after="0" w:line="240" w:lineRule="auto"/>
              <w:jc w:val="right"/>
              <w:rPr>
                <w:lang w:eastAsia="en-GB"/>
              </w:rPr>
            </w:pPr>
          </w:p>
        </w:tc>
        <w:tc>
          <w:tcPr>
            <w:tcW w:w="1120" w:type="dxa"/>
            <w:shd w:val="clear" w:color="auto" w:fill="auto"/>
            <w:noWrap/>
            <w:vAlign w:val="bottom"/>
            <w:hideMark/>
          </w:tcPr>
          <w:p w14:paraId="295902EC"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222" w:type="dxa"/>
            <w:shd w:val="clear" w:color="auto" w:fill="auto"/>
            <w:noWrap/>
            <w:vAlign w:val="bottom"/>
            <w:hideMark/>
          </w:tcPr>
          <w:p w14:paraId="56D1D8B2"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0394639F" w14:textId="77777777" w:rsidTr="000E7AE0">
        <w:trPr>
          <w:trHeight w:val="300"/>
        </w:trPr>
        <w:tc>
          <w:tcPr>
            <w:tcW w:w="2148" w:type="dxa"/>
            <w:shd w:val="clear" w:color="auto" w:fill="auto"/>
            <w:noWrap/>
            <w:vAlign w:val="bottom"/>
            <w:hideMark/>
          </w:tcPr>
          <w:p w14:paraId="18606C98"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4632C827" w14:textId="77777777" w:rsidR="004E3103" w:rsidRPr="002B2821" w:rsidRDefault="004E3103" w:rsidP="004E3103">
            <w:pPr>
              <w:spacing w:after="0" w:line="240" w:lineRule="auto"/>
              <w:rPr>
                <w:lang w:eastAsia="en-GB"/>
              </w:rPr>
            </w:pPr>
          </w:p>
        </w:tc>
        <w:tc>
          <w:tcPr>
            <w:tcW w:w="1537" w:type="dxa"/>
            <w:tcBorders>
              <w:left w:val="single" w:sz="4" w:space="0" w:color="3C3C3C"/>
            </w:tcBorders>
            <w:shd w:val="clear" w:color="auto" w:fill="auto"/>
            <w:noWrap/>
            <w:vAlign w:val="bottom"/>
            <w:hideMark/>
          </w:tcPr>
          <w:p w14:paraId="25355E34"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982" w:type="dxa"/>
            <w:tcBorders>
              <w:right w:val="single" w:sz="4" w:space="0" w:color="3C3C3C"/>
            </w:tcBorders>
            <w:shd w:val="clear" w:color="auto" w:fill="auto"/>
            <w:noWrap/>
            <w:vAlign w:val="bottom"/>
            <w:hideMark/>
          </w:tcPr>
          <w:p w14:paraId="0B6BC929"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240" w:type="dxa"/>
            <w:tcBorders>
              <w:left w:val="single" w:sz="4" w:space="0" w:color="3C3C3C"/>
            </w:tcBorders>
            <w:shd w:val="clear" w:color="auto" w:fill="auto"/>
            <w:noWrap/>
            <w:vAlign w:val="bottom"/>
            <w:hideMark/>
          </w:tcPr>
          <w:p w14:paraId="4110DC52"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120" w:type="dxa"/>
            <w:shd w:val="clear" w:color="auto" w:fill="auto"/>
            <w:noWrap/>
            <w:vAlign w:val="bottom"/>
            <w:hideMark/>
          </w:tcPr>
          <w:p w14:paraId="3EE118FF" w14:textId="77777777" w:rsidR="004E3103" w:rsidRPr="002B2821" w:rsidRDefault="004E3103"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222" w:type="dxa"/>
            <w:shd w:val="clear" w:color="auto" w:fill="auto"/>
            <w:noWrap/>
            <w:vAlign w:val="bottom"/>
            <w:hideMark/>
          </w:tcPr>
          <w:p w14:paraId="5C88B4FE" w14:textId="77777777" w:rsidR="004E3103" w:rsidRPr="002B2821" w:rsidRDefault="004E3103" w:rsidP="004E3103">
            <w:pPr>
              <w:spacing w:after="0" w:line="240" w:lineRule="auto"/>
              <w:jc w:val="right"/>
              <w:rPr>
                <w:rFonts w:ascii="Calibri" w:hAnsi="Calibri" w:cs="Arial"/>
                <w:b/>
                <w:bCs/>
                <w:color w:val="333399"/>
                <w:sz w:val="22"/>
                <w:szCs w:val="22"/>
                <w:lang w:eastAsia="en-GB"/>
              </w:rPr>
            </w:pPr>
          </w:p>
        </w:tc>
      </w:tr>
      <w:tr w:rsidR="004E3103" w:rsidRPr="002B2821" w14:paraId="4B72FCA4" w14:textId="77777777" w:rsidTr="000E7AE0">
        <w:trPr>
          <w:trHeight w:val="300"/>
        </w:trPr>
        <w:tc>
          <w:tcPr>
            <w:tcW w:w="2148" w:type="dxa"/>
            <w:shd w:val="clear" w:color="auto" w:fill="auto"/>
            <w:noWrap/>
            <w:vAlign w:val="bottom"/>
            <w:hideMark/>
          </w:tcPr>
          <w:p w14:paraId="6EBE7B17"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1C850144" w14:textId="77777777" w:rsidR="004E3103" w:rsidRPr="002B2821" w:rsidRDefault="004E3103" w:rsidP="004E3103">
            <w:pPr>
              <w:spacing w:after="0" w:line="240" w:lineRule="auto"/>
              <w:rPr>
                <w:lang w:eastAsia="en-GB"/>
              </w:rPr>
            </w:pPr>
          </w:p>
        </w:tc>
        <w:tc>
          <w:tcPr>
            <w:tcW w:w="1537" w:type="dxa"/>
            <w:tcBorders>
              <w:left w:val="single" w:sz="4" w:space="0" w:color="3C3C3C"/>
            </w:tcBorders>
            <w:shd w:val="clear" w:color="auto" w:fill="auto"/>
            <w:noWrap/>
            <w:vAlign w:val="bottom"/>
            <w:hideMark/>
          </w:tcPr>
          <w:p w14:paraId="358E545D" w14:textId="77777777" w:rsidR="004E3103" w:rsidRPr="002B2821" w:rsidRDefault="004E3103" w:rsidP="004E3103">
            <w:pPr>
              <w:spacing w:after="0" w:line="240" w:lineRule="auto"/>
              <w:rPr>
                <w:lang w:eastAsia="en-GB"/>
              </w:rPr>
            </w:pPr>
          </w:p>
        </w:tc>
        <w:tc>
          <w:tcPr>
            <w:tcW w:w="982" w:type="dxa"/>
            <w:tcBorders>
              <w:right w:val="single" w:sz="4" w:space="0" w:color="3C3C3C"/>
            </w:tcBorders>
            <w:shd w:val="clear" w:color="auto" w:fill="auto"/>
            <w:noWrap/>
            <w:vAlign w:val="bottom"/>
            <w:hideMark/>
          </w:tcPr>
          <w:p w14:paraId="30473247" w14:textId="77777777" w:rsidR="004E3103" w:rsidRPr="002B2821" w:rsidRDefault="004E3103" w:rsidP="004E3103">
            <w:pPr>
              <w:spacing w:after="0" w:line="240" w:lineRule="auto"/>
              <w:rPr>
                <w:lang w:eastAsia="en-GB"/>
              </w:rPr>
            </w:pPr>
          </w:p>
        </w:tc>
        <w:tc>
          <w:tcPr>
            <w:tcW w:w="1240" w:type="dxa"/>
            <w:tcBorders>
              <w:left w:val="single" w:sz="4" w:space="0" w:color="3C3C3C"/>
            </w:tcBorders>
            <w:shd w:val="clear" w:color="auto" w:fill="auto"/>
            <w:noWrap/>
            <w:vAlign w:val="bottom"/>
            <w:hideMark/>
          </w:tcPr>
          <w:p w14:paraId="36609400" w14:textId="77777777" w:rsidR="004E3103" w:rsidRPr="002B2821" w:rsidRDefault="004E3103" w:rsidP="004E3103">
            <w:pPr>
              <w:spacing w:after="0" w:line="240" w:lineRule="auto"/>
              <w:rPr>
                <w:lang w:eastAsia="en-GB"/>
              </w:rPr>
            </w:pPr>
          </w:p>
        </w:tc>
        <w:tc>
          <w:tcPr>
            <w:tcW w:w="1120" w:type="dxa"/>
            <w:shd w:val="clear" w:color="auto" w:fill="auto"/>
            <w:noWrap/>
            <w:vAlign w:val="bottom"/>
            <w:hideMark/>
          </w:tcPr>
          <w:p w14:paraId="321AA568"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434865B7" w14:textId="77777777" w:rsidR="004E3103" w:rsidRPr="002B2821" w:rsidRDefault="004E3103" w:rsidP="004E3103">
            <w:pPr>
              <w:spacing w:after="0" w:line="240" w:lineRule="auto"/>
              <w:rPr>
                <w:lang w:eastAsia="en-GB"/>
              </w:rPr>
            </w:pPr>
          </w:p>
        </w:tc>
      </w:tr>
      <w:tr w:rsidR="004E3103" w:rsidRPr="002B2821" w14:paraId="2109BAAD" w14:textId="77777777" w:rsidTr="000E7AE0">
        <w:trPr>
          <w:trHeight w:val="300"/>
        </w:trPr>
        <w:tc>
          <w:tcPr>
            <w:tcW w:w="3544" w:type="dxa"/>
            <w:gridSpan w:val="2"/>
            <w:tcBorders>
              <w:right w:val="single" w:sz="4" w:space="0" w:color="3C3C3C"/>
            </w:tcBorders>
            <w:shd w:val="clear" w:color="auto" w:fill="auto"/>
            <w:noWrap/>
            <w:vAlign w:val="bottom"/>
            <w:hideMark/>
          </w:tcPr>
          <w:p w14:paraId="1552ED48"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Balance as at 1 October 2016</w:t>
            </w:r>
          </w:p>
        </w:tc>
        <w:tc>
          <w:tcPr>
            <w:tcW w:w="1537" w:type="dxa"/>
            <w:tcBorders>
              <w:left w:val="single" w:sz="4" w:space="0" w:color="3C3C3C"/>
            </w:tcBorders>
            <w:shd w:val="clear" w:color="auto" w:fill="auto"/>
            <w:noWrap/>
            <w:vAlign w:val="bottom"/>
            <w:hideMark/>
          </w:tcPr>
          <w:p w14:paraId="2965A47F"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8,615</w:t>
            </w:r>
          </w:p>
        </w:tc>
        <w:tc>
          <w:tcPr>
            <w:tcW w:w="982" w:type="dxa"/>
            <w:tcBorders>
              <w:right w:val="single" w:sz="4" w:space="0" w:color="3C3C3C"/>
            </w:tcBorders>
            <w:shd w:val="clear" w:color="auto" w:fill="auto"/>
            <w:noWrap/>
            <w:vAlign w:val="bottom"/>
            <w:hideMark/>
          </w:tcPr>
          <w:p w14:paraId="3B645E99"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139,944</w:t>
            </w:r>
          </w:p>
        </w:tc>
        <w:tc>
          <w:tcPr>
            <w:tcW w:w="1240" w:type="dxa"/>
            <w:tcBorders>
              <w:left w:val="single" w:sz="4" w:space="0" w:color="3C3C3C"/>
            </w:tcBorders>
            <w:shd w:val="clear" w:color="auto" w:fill="auto"/>
            <w:noWrap/>
            <w:vAlign w:val="bottom"/>
            <w:hideMark/>
          </w:tcPr>
          <w:p w14:paraId="148DF1D8"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1,200</w:t>
            </w:r>
          </w:p>
        </w:tc>
        <w:tc>
          <w:tcPr>
            <w:tcW w:w="1120" w:type="dxa"/>
            <w:shd w:val="clear" w:color="auto" w:fill="auto"/>
            <w:noWrap/>
            <w:vAlign w:val="bottom"/>
            <w:hideMark/>
          </w:tcPr>
          <w:p w14:paraId="2483B247"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149,759</w:t>
            </w:r>
          </w:p>
        </w:tc>
        <w:tc>
          <w:tcPr>
            <w:tcW w:w="222" w:type="dxa"/>
            <w:shd w:val="clear" w:color="auto" w:fill="auto"/>
            <w:noWrap/>
            <w:vAlign w:val="bottom"/>
            <w:hideMark/>
          </w:tcPr>
          <w:p w14:paraId="6B5B1A38"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70FE9299" w14:textId="77777777" w:rsidTr="000E7AE0">
        <w:trPr>
          <w:trHeight w:val="300"/>
        </w:trPr>
        <w:tc>
          <w:tcPr>
            <w:tcW w:w="2148" w:type="dxa"/>
            <w:shd w:val="clear" w:color="auto" w:fill="auto"/>
            <w:noWrap/>
            <w:vAlign w:val="bottom"/>
            <w:hideMark/>
          </w:tcPr>
          <w:p w14:paraId="0D4B3AB8"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1A185D58" w14:textId="77777777" w:rsidR="004E3103" w:rsidRPr="002B2821" w:rsidRDefault="004E3103" w:rsidP="004E3103">
            <w:pPr>
              <w:spacing w:after="0" w:line="240" w:lineRule="auto"/>
              <w:rPr>
                <w:lang w:eastAsia="en-GB"/>
              </w:rPr>
            </w:pPr>
          </w:p>
        </w:tc>
        <w:tc>
          <w:tcPr>
            <w:tcW w:w="1537" w:type="dxa"/>
            <w:tcBorders>
              <w:left w:val="single" w:sz="4" w:space="0" w:color="3C3C3C"/>
            </w:tcBorders>
            <w:shd w:val="clear" w:color="auto" w:fill="auto"/>
            <w:noWrap/>
            <w:vAlign w:val="bottom"/>
            <w:hideMark/>
          </w:tcPr>
          <w:p w14:paraId="33C1AACC" w14:textId="77777777" w:rsidR="004E3103" w:rsidRPr="002B2821" w:rsidRDefault="004E3103" w:rsidP="004E3103">
            <w:pPr>
              <w:spacing w:after="0" w:line="240" w:lineRule="auto"/>
              <w:rPr>
                <w:lang w:eastAsia="en-GB"/>
              </w:rPr>
            </w:pPr>
          </w:p>
        </w:tc>
        <w:tc>
          <w:tcPr>
            <w:tcW w:w="982" w:type="dxa"/>
            <w:tcBorders>
              <w:right w:val="single" w:sz="4" w:space="0" w:color="3C3C3C"/>
            </w:tcBorders>
            <w:shd w:val="clear" w:color="auto" w:fill="auto"/>
            <w:noWrap/>
            <w:vAlign w:val="bottom"/>
            <w:hideMark/>
          </w:tcPr>
          <w:p w14:paraId="27C225EF" w14:textId="77777777" w:rsidR="004E3103" w:rsidRPr="002B2821" w:rsidRDefault="004E3103" w:rsidP="004E3103">
            <w:pPr>
              <w:spacing w:after="0" w:line="240" w:lineRule="auto"/>
              <w:rPr>
                <w:lang w:eastAsia="en-GB"/>
              </w:rPr>
            </w:pPr>
          </w:p>
        </w:tc>
        <w:tc>
          <w:tcPr>
            <w:tcW w:w="1240" w:type="dxa"/>
            <w:tcBorders>
              <w:left w:val="single" w:sz="4" w:space="0" w:color="3C3C3C"/>
            </w:tcBorders>
            <w:shd w:val="clear" w:color="auto" w:fill="auto"/>
            <w:noWrap/>
            <w:vAlign w:val="bottom"/>
            <w:hideMark/>
          </w:tcPr>
          <w:p w14:paraId="5E3602C9" w14:textId="77777777" w:rsidR="004E3103" w:rsidRPr="002B2821" w:rsidRDefault="004E3103" w:rsidP="004E3103">
            <w:pPr>
              <w:spacing w:after="0" w:line="240" w:lineRule="auto"/>
              <w:rPr>
                <w:lang w:eastAsia="en-GB"/>
              </w:rPr>
            </w:pPr>
          </w:p>
        </w:tc>
        <w:tc>
          <w:tcPr>
            <w:tcW w:w="1120" w:type="dxa"/>
            <w:shd w:val="clear" w:color="auto" w:fill="auto"/>
            <w:noWrap/>
            <w:vAlign w:val="bottom"/>
            <w:hideMark/>
          </w:tcPr>
          <w:p w14:paraId="5915C55D"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334173A7" w14:textId="77777777" w:rsidR="004E3103" w:rsidRPr="002B2821" w:rsidRDefault="004E3103" w:rsidP="004E3103">
            <w:pPr>
              <w:spacing w:after="0" w:line="240" w:lineRule="auto"/>
              <w:rPr>
                <w:lang w:eastAsia="en-GB"/>
              </w:rPr>
            </w:pPr>
          </w:p>
        </w:tc>
      </w:tr>
      <w:tr w:rsidR="004E3103" w:rsidRPr="002B2821" w14:paraId="48798DAC" w14:textId="77777777" w:rsidTr="000E7AE0">
        <w:trPr>
          <w:trHeight w:val="300"/>
        </w:trPr>
        <w:tc>
          <w:tcPr>
            <w:tcW w:w="3544" w:type="dxa"/>
            <w:gridSpan w:val="2"/>
            <w:tcBorders>
              <w:right w:val="single" w:sz="4" w:space="0" w:color="3C3C3C"/>
            </w:tcBorders>
            <w:shd w:val="clear" w:color="auto" w:fill="auto"/>
            <w:noWrap/>
            <w:vAlign w:val="bottom"/>
            <w:hideMark/>
          </w:tcPr>
          <w:p w14:paraId="48670088" w14:textId="48AA12FB" w:rsidR="00CA08E9" w:rsidRDefault="004E3103" w:rsidP="00CA08E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Net incoming/(outgoing) resources</w:t>
            </w:r>
            <w:r w:rsidR="00CA08E9" w:rsidRPr="002B2821">
              <w:rPr>
                <w:rFonts w:ascii="Calibri" w:hAnsi="Calibri" w:cs="Arial"/>
                <w:color w:val="000000"/>
                <w:sz w:val="22"/>
                <w:szCs w:val="22"/>
                <w:lang w:eastAsia="en-GB"/>
              </w:rPr>
              <w:t xml:space="preserve"> as per Statement of Financial </w:t>
            </w:r>
          </w:p>
          <w:p w14:paraId="714AFBFA" w14:textId="328C3A6C" w:rsidR="004E3103" w:rsidRPr="002B2821" w:rsidRDefault="00CA08E9" w:rsidP="00CA08E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Activities</w:t>
            </w:r>
          </w:p>
        </w:tc>
        <w:tc>
          <w:tcPr>
            <w:tcW w:w="1537" w:type="dxa"/>
            <w:tcBorders>
              <w:left w:val="single" w:sz="4" w:space="0" w:color="3C3C3C"/>
            </w:tcBorders>
            <w:shd w:val="clear" w:color="auto" w:fill="auto"/>
            <w:noWrap/>
            <w:vAlign w:val="bottom"/>
            <w:hideMark/>
          </w:tcPr>
          <w:p w14:paraId="64B1A486"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0E018884"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10,927</w:t>
            </w:r>
          </w:p>
        </w:tc>
        <w:tc>
          <w:tcPr>
            <w:tcW w:w="1240" w:type="dxa"/>
            <w:tcBorders>
              <w:left w:val="single" w:sz="4" w:space="0" w:color="3C3C3C"/>
            </w:tcBorders>
            <w:shd w:val="clear" w:color="auto" w:fill="auto"/>
            <w:noWrap/>
            <w:vAlign w:val="bottom"/>
            <w:hideMark/>
          </w:tcPr>
          <w:p w14:paraId="6BDEEFA4"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(1,785)</w:t>
            </w:r>
          </w:p>
        </w:tc>
        <w:tc>
          <w:tcPr>
            <w:tcW w:w="1120" w:type="dxa"/>
            <w:shd w:val="clear" w:color="auto" w:fill="auto"/>
            <w:noWrap/>
            <w:vAlign w:val="bottom"/>
            <w:hideMark/>
          </w:tcPr>
          <w:p w14:paraId="629C4F8D"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9,142</w:t>
            </w:r>
          </w:p>
        </w:tc>
        <w:tc>
          <w:tcPr>
            <w:tcW w:w="222" w:type="dxa"/>
            <w:shd w:val="clear" w:color="auto" w:fill="auto"/>
            <w:noWrap/>
            <w:vAlign w:val="bottom"/>
            <w:hideMark/>
          </w:tcPr>
          <w:p w14:paraId="21A4C07F"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0B0B4CA6" w14:textId="77777777" w:rsidTr="000E7AE0">
        <w:trPr>
          <w:trHeight w:val="300"/>
        </w:trPr>
        <w:tc>
          <w:tcPr>
            <w:tcW w:w="2148" w:type="dxa"/>
            <w:shd w:val="clear" w:color="auto" w:fill="auto"/>
            <w:noWrap/>
            <w:vAlign w:val="bottom"/>
            <w:hideMark/>
          </w:tcPr>
          <w:p w14:paraId="7702B5C9"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3E04D1B0" w14:textId="77777777" w:rsidR="004E3103" w:rsidRPr="002B2821" w:rsidRDefault="004E3103" w:rsidP="004E3103">
            <w:pPr>
              <w:spacing w:after="0" w:line="240" w:lineRule="auto"/>
              <w:rPr>
                <w:lang w:eastAsia="en-GB"/>
              </w:rPr>
            </w:pPr>
          </w:p>
        </w:tc>
        <w:tc>
          <w:tcPr>
            <w:tcW w:w="1537" w:type="dxa"/>
            <w:tcBorders>
              <w:left w:val="single" w:sz="4" w:space="0" w:color="3C3C3C"/>
            </w:tcBorders>
            <w:shd w:val="clear" w:color="auto" w:fill="auto"/>
            <w:noWrap/>
            <w:vAlign w:val="bottom"/>
            <w:hideMark/>
          </w:tcPr>
          <w:p w14:paraId="59ED158B" w14:textId="77777777" w:rsidR="004E3103" w:rsidRPr="002B2821" w:rsidRDefault="004E3103" w:rsidP="004E3103">
            <w:pPr>
              <w:spacing w:after="0" w:line="240" w:lineRule="auto"/>
              <w:rPr>
                <w:lang w:eastAsia="en-GB"/>
              </w:rPr>
            </w:pPr>
          </w:p>
        </w:tc>
        <w:tc>
          <w:tcPr>
            <w:tcW w:w="982" w:type="dxa"/>
            <w:tcBorders>
              <w:right w:val="single" w:sz="4" w:space="0" w:color="3C3C3C"/>
            </w:tcBorders>
            <w:shd w:val="clear" w:color="auto" w:fill="auto"/>
            <w:noWrap/>
            <w:vAlign w:val="bottom"/>
            <w:hideMark/>
          </w:tcPr>
          <w:p w14:paraId="77604FB5" w14:textId="77777777" w:rsidR="004E3103" w:rsidRPr="002B2821" w:rsidRDefault="004E3103" w:rsidP="004E3103">
            <w:pPr>
              <w:spacing w:after="0" w:line="240" w:lineRule="auto"/>
              <w:rPr>
                <w:lang w:eastAsia="en-GB"/>
              </w:rPr>
            </w:pPr>
          </w:p>
        </w:tc>
        <w:tc>
          <w:tcPr>
            <w:tcW w:w="1240" w:type="dxa"/>
            <w:tcBorders>
              <w:left w:val="single" w:sz="4" w:space="0" w:color="3C3C3C"/>
            </w:tcBorders>
            <w:shd w:val="clear" w:color="auto" w:fill="auto"/>
            <w:noWrap/>
            <w:vAlign w:val="bottom"/>
            <w:hideMark/>
          </w:tcPr>
          <w:p w14:paraId="44DEC744" w14:textId="77777777" w:rsidR="004E3103" w:rsidRPr="002B2821" w:rsidRDefault="004E3103" w:rsidP="004E3103">
            <w:pPr>
              <w:spacing w:after="0" w:line="240" w:lineRule="auto"/>
              <w:rPr>
                <w:lang w:eastAsia="en-GB"/>
              </w:rPr>
            </w:pPr>
          </w:p>
        </w:tc>
        <w:tc>
          <w:tcPr>
            <w:tcW w:w="1120" w:type="dxa"/>
            <w:shd w:val="clear" w:color="auto" w:fill="auto"/>
            <w:noWrap/>
            <w:vAlign w:val="bottom"/>
            <w:hideMark/>
          </w:tcPr>
          <w:p w14:paraId="318F66ED"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656C692A" w14:textId="77777777" w:rsidR="004E3103" w:rsidRPr="002B2821" w:rsidRDefault="004E3103" w:rsidP="004E3103">
            <w:pPr>
              <w:spacing w:after="0" w:line="240" w:lineRule="auto"/>
              <w:rPr>
                <w:lang w:eastAsia="en-GB"/>
              </w:rPr>
            </w:pPr>
          </w:p>
        </w:tc>
      </w:tr>
      <w:tr w:rsidR="004E3103" w:rsidRPr="002B2821" w14:paraId="434FEFD8" w14:textId="77777777" w:rsidTr="000E7AE0">
        <w:trPr>
          <w:trHeight w:val="300"/>
        </w:trPr>
        <w:tc>
          <w:tcPr>
            <w:tcW w:w="3544" w:type="dxa"/>
            <w:gridSpan w:val="2"/>
            <w:tcBorders>
              <w:right w:val="single" w:sz="4" w:space="0" w:color="3C3C3C"/>
            </w:tcBorders>
            <w:shd w:val="clear" w:color="auto" w:fill="auto"/>
            <w:noWrap/>
            <w:vAlign w:val="bottom"/>
            <w:hideMark/>
          </w:tcPr>
          <w:p w14:paraId="4B882E5B" w14:textId="6C30AA55" w:rsidR="004E3103" w:rsidRPr="002B2821" w:rsidRDefault="004E3103" w:rsidP="005808D4">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Adjustment for net increase</w:t>
            </w:r>
            <w:r w:rsidR="00CA08E9" w:rsidRPr="002B2821">
              <w:rPr>
                <w:rFonts w:ascii="Calibri" w:hAnsi="Calibri" w:cs="Arial"/>
                <w:color w:val="000000"/>
                <w:sz w:val="22"/>
                <w:szCs w:val="22"/>
                <w:lang w:eastAsia="en-GB"/>
              </w:rPr>
              <w:t xml:space="preserve"> in beneficiary memorandum accounts</w:t>
            </w:r>
            <w:r w:rsidR="00CA08E9">
              <w:rPr>
                <w:rFonts w:ascii="Calibri" w:hAnsi="Calibri" w:cs="Arial"/>
                <w:color w:val="000000"/>
                <w:sz w:val="22"/>
                <w:szCs w:val="22"/>
                <w:lang w:eastAsia="en-GB"/>
              </w:rPr>
              <w:t xml:space="preserve"> </w:t>
            </w:r>
            <w:r w:rsidR="00CA08E9" w:rsidRPr="002B2821">
              <w:rPr>
                <w:rFonts w:ascii="Calibri" w:hAnsi="Calibri" w:cs="Arial"/>
                <w:color w:val="000000"/>
                <w:sz w:val="22"/>
                <w:szCs w:val="22"/>
                <w:lang w:eastAsia="en-GB"/>
              </w:rPr>
              <w:t>(</w:t>
            </w:r>
            <w:r w:rsidR="00393353">
              <w:rPr>
                <w:rFonts w:ascii="Calibri" w:hAnsi="Calibri" w:cs="Arial"/>
                <w:color w:val="000000"/>
                <w:sz w:val="22"/>
                <w:szCs w:val="22"/>
                <w:lang w:eastAsia="en-GB"/>
              </w:rPr>
              <w:t>n</w:t>
            </w:r>
            <w:r w:rsidR="00CA08E9" w:rsidRPr="002B2821">
              <w:rPr>
                <w:rFonts w:ascii="Calibri" w:hAnsi="Calibri" w:cs="Arial"/>
                <w:color w:val="000000"/>
                <w:sz w:val="22"/>
                <w:szCs w:val="22"/>
                <w:lang w:eastAsia="en-GB"/>
              </w:rPr>
              <w:t>ote 11)</w:t>
            </w:r>
          </w:p>
        </w:tc>
        <w:tc>
          <w:tcPr>
            <w:tcW w:w="1537" w:type="dxa"/>
            <w:tcBorders>
              <w:left w:val="single" w:sz="4" w:space="0" w:color="3C3C3C"/>
            </w:tcBorders>
            <w:shd w:val="clear" w:color="auto" w:fill="auto"/>
            <w:noWrap/>
            <w:vAlign w:val="bottom"/>
            <w:hideMark/>
          </w:tcPr>
          <w:p w14:paraId="42673FC9"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250</w:t>
            </w:r>
          </w:p>
        </w:tc>
        <w:tc>
          <w:tcPr>
            <w:tcW w:w="982" w:type="dxa"/>
            <w:tcBorders>
              <w:right w:val="single" w:sz="4" w:space="0" w:color="3C3C3C"/>
            </w:tcBorders>
            <w:shd w:val="clear" w:color="auto" w:fill="auto"/>
            <w:noWrap/>
            <w:vAlign w:val="bottom"/>
            <w:hideMark/>
          </w:tcPr>
          <w:p w14:paraId="0E06DCFC"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(250)</w:t>
            </w:r>
          </w:p>
        </w:tc>
        <w:tc>
          <w:tcPr>
            <w:tcW w:w="1240" w:type="dxa"/>
            <w:tcBorders>
              <w:left w:val="single" w:sz="4" w:space="0" w:color="3C3C3C"/>
            </w:tcBorders>
            <w:shd w:val="clear" w:color="auto" w:fill="auto"/>
            <w:noWrap/>
            <w:vAlign w:val="bottom"/>
            <w:hideMark/>
          </w:tcPr>
          <w:p w14:paraId="385876A8"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34CCCCF8" w14:textId="4590635E" w:rsidR="004E3103" w:rsidRPr="002B2821" w:rsidRDefault="00AE7FF2" w:rsidP="0082460C">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w:t>
            </w:r>
          </w:p>
        </w:tc>
        <w:tc>
          <w:tcPr>
            <w:tcW w:w="222" w:type="dxa"/>
            <w:shd w:val="clear" w:color="auto" w:fill="auto"/>
            <w:noWrap/>
            <w:vAlign w:val="bottom"/>
            <w:hideMark/>
          </w:tcPr>
          <w:p w14:paraId="2FE019F1"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07C34C70" w14:textId="77777777" w:rsidTr="000E7AE0">
        <w:trPr>
          <w:trHeight w:val="300"/>
        </w:trPr>
        <w:tc>
          <w:tcPr>
            <w:tcW w:w="2148" w:type="dxa"/>
            <w:shd w:val="clear" w:color="auto" w:fill="auto"/>
            <w:noWrap/>
            <w:vAlign w:val="bottom"/>
            <w:hideMark/>
          </w:tcPr>
          <w:p w14:paraId="12FFB1E9" w14:textId="3C24C500" w:rsidR="004E3103" w:rsidRPr="002B2821" w:rsidRDefault="004E3103" w:rsidP="004E3103">
            <w:pPr>
              <w:spacing w:after="0" w:line="240" w:lineRule="auto"/>
              <w:rPr>
                <w:rFonts w:ascii="Calibri" w:hAnsi="Calibri" w:cs="Arial"/>
                <w:color w:val="000000"/>
                <w:sz w:val="22"/>
                <w:szCs w:val="22"/>
                <w:lang w:eastAsia="en-GB"/>
              </w:rPr>
            </w:pPr>
          </w:p>
        </w:tc>
        <w:tc>
          <w:tcPr>
            <w:tcW w:w="1396" w:type="dxa"/>
            <w:tcBorders>
              <w:right w:val="single" w:sz="4" w:space="0" w:color="3C3C3C"/>
            </w:tcBorders>
            <w:shd w:val="clear" w:color="auto" w:fill="auto"/>
            <w:noWrap/>
            <w:vAlign w:val="bottom"/>
            <w:hideMark/>
          </w:tcPr>
          <w:p w14:paraId="7658EE57" w14:textId="77777777" w:rsidR="004E3103" w:rsidRPr="002B2821" w:rsidRDefault="004E3103" w:rsidP="004E3103">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4CBC705F" w14:textId="77777777" w:rsidR="004E3103" w:rsidRPr="002B2821" w:rsidRDefault="004E3103" w:rsidP="004E3103">
            <w:pPr>
              <w:spacing w:after="0" w:line="240" w:lineRule="auto"/>
              <w:rPr>
                <w:lang w:eastAsia="en-GB"/>
              </w:rPr>
            </w:pPr>
          </w:p>
        </w:tc>
        <w:tc>
          <w:tcPr>
            <w:tcW w:w="982" w:type="dxa"/>
            <w:tcBorders>
              <w:right w:val="single" w:sz="4" w:space="0" w:color="3C3C3C"/>
            </w:tcBorders>
            <w:shd w:val="clear" w:color="auto" w:fill="auto"/>
            <w:noWrap/>
            <w:vAlign w:val="bottom"/>
            <w:hideMark/>
          </w:tcPr>
          <w:p w14:paraId="742FD496" w14:textId="77777777" w:rsidR="004E3103" w:rsidRPr="002B2821" w:rsidRDefault="004E3103" w:rsidP="004E3103">
            <w:pPr>
              <w:spacing w:after="0" w:line="240" w:lineRule="auto"/>
              <w:rPr>
                <w:lang w:eastAsia="en-GB"/>
              </w:rPr>
            </w:pPr>
          </w:p>
        </w:tc>
        <w:tc>
          <w:tcPr>
            <w:tcW w:w="1240" w:type="dxa"/>
            <w:tcBorders>
              <w:left w:val="single" w:sz="4" w:space="0" w:color="3C3C3C"/>
            </w:tcBorders>
            <w:shd w:val="clear" w:color="auto" w:fill="auto"/>
            <w:noWrap/>
            <w:vAlign w:val="bottom"/>
            <w:hideMark/>
          </w:tcPr>
          <w:p w14:paraId="69FB63CB" w14:textId="77777777" w:rsidR="004E3103" w:rsidRPr="002B2821" w:rsidRDefault="004E3103" w:rsidP="004E3103">
            <w:pPr>
              <w:spacing w:after="0" w:line="240" w:lineRule="auto"/>
              <w:rPr>
                <w:lang w:eastAsia="en-GB"/>
              </w:rPr>
            </w:pPr>
          </w:p>
        </w:tc>
        <w:tc>
          <w:tcPr>
            <w:tcW w:w="1120" w:type="dxa"/>
            <w:shd w:val="clear" w:color="auto" w:fill="auto"/>
            <w:noWrap/>
            <w:vAlign w:val="bottom"/>
            <w:hideMark/>
          </w:tcPr>
          <w:p w14:paraId="6C3052C3"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14E3F1E3" w14:textId="77777777" w:rsidR="004E3103" w:rsidRPr="002B2821" w:rsidRDefault="004E3103" w:rsidP="004E3103">
            <w:pPr>
              <w:spacing w:after="0" w:line="240" w:lineRule="auto"/>
              <w:rPr>
                <w:lang w:eastAsia="en-GB"/>
              </w:rPr>
            </w:pPr>
          </w:p>
        </w:tc>
      </w:tr>
      <w:tr w:rsidR="004E3103" w:rsidRPr="002B2821" w14:paraId="40638BFA" w14:textId="77777777" w:rsidTr="000E7AE0">
        <w:trPr>
          <w:trHeight w:val="300"/>
        </w:trPr>
        <w:tc>
          <w:tcPr>
            <w:tcW w:w="2148" w:type="dxa"/>
            <w:shd w:val="clear" w:color="auto" w:fill="auto"/>
            <w:noWrap/>
            <w:vAlign w:val="bottom"/>
            <w:hideMark/>
          </w:tcPr>
          <w:p w14:paraId="6A58164A" w14:textId="77777777" w:rsidR="004E3103" w:rsidRPr="002B2821" w:rsidRDefault="004E3103" w:rsidP="004E3103">
            <w:pPr>
              <w:spacing w:after="0" w:line="240" w:lineRule="auto"/>
              <w:rPr>
                <w:lang w:eastAsia="en-GB"/>
              </w:rPr>
            </w:pPr>
          </w:p>
        </w:tc>
        <w:tc>
          <w:tcPr>
            <w:tcW w:w="1396" w:type="dxa"/>
            <w:tcBorders>
              <w:right w:val="single" w:sz="4" w:space="0" w:color="3C3C3C"/>
            </w:tcBorders>
            <w:shd w:val="clear" w:color="auto" w:fill="auto"/>
            <w:noWrap/>
            <w:vAlign w:val="bottom"/>
            <w:hideMark/>
          </w:tcPr>
          <w:p w14:paraId="505BF82A" w14:textId="77777777" w:rsidR="004E3103" w:rsidRPr="002B2821" w:rsidRDefault="004E3103" w:rsidP="004E3103">
            <w:pPr>
              <w:spacing w:after="0" w:line="240" w:lineRule="auto"/>
              <w:rPr>
                <w:lang w:eastAsia="en-GB"/>
              </w:rPr>
            </w:pPr>
          </w:p>
        </w:tc>
        <w:tc>
          <w:tcPr>
            <w:tcW w:w="1537" w:type="dxa"/>
            <w:tcBorders>
              <w:left w:val="single" w:sz="4" w:space="0" w:color="3C3C3C"/>
              <w:bottom w:val="single" w:sz="4" w:space="0" w:color="3C3C3C"/>
            </w:tcBorders>
            <w:shd w:val="clear" w:color="auto" w:fill="auto"/>
            <w:noWrap/>
            <w:vAlign w:val="bottom"/>
            <w:hideMark/>
          </w:tcPr>
          <w:p w14:paraId="734C3095" w14:textId="77777777" w:rsidR="004E3103" w:rsidRPr="002B2821" w:rsidRDefault="004E3103" w:rsidP="004E3103">
            <w:pPr>
              <w:spacing w:after="0" w:line="240" w:lineRule="auto"/>
              <w:rPr>
                <w:lang w:eastAsia="en-GB"/>
              </w:rPr>
            </w:pPr>
          </w:p>
        </w:tc>
        <w:tc>
          <w:tcPr>
            <w:tcW w:w="982" w:type="dxa"/>
            <w:tcBorders>
              <w:bottom w:val="single" w:sz="4" w:space="0" w:color="3C3C3C"/>
              <w:right w:val="single" w:sz="4" w:space="0" w:color="3C3C3C"/>
            </w:tcBorders>
            <w:shd w:val="clear" w:color="auto" w:fill="auto"/>
            <w:noWrap/>
            <w:vAlign w:val="bottom"/>
            <w:hideMark/>
          </w:tcPr>
          <w:p w14:paraId="4CF0AF5A" w14:textId="77777777" w:rsidR="004E3103" w:rsidRPr="002B2821" w:rsidRDefault="004E3103" w:rsidP="004E3103">
            <w:pPr>
              <w:spacing w:after="0" w:line="240" w:lineRule="auto"/>
              <w:rPr>
                <w:lang w:eastAsia="en-GB"/>
              </w:rPr>
            </w:pPr>
          </w:p>
        </w:tc>
        <w:tc>
          <w:tcPr>
            <w:tcW w:w="1240" w:type="dxa"/>
            <w:tcBorders>
              <w:left w:val="single" w:sz="4" w:space="0" w:color="3C3C3C"/>
              <w:bottom w:val="single" w:sz="4" w:space="0" w:color="3C3C3C"/>
            </w:tcBorders>
            <w:shd w:val="clear" w:color="auto" w:fill="auto"/>
            <w:noWrap/>
            <w:vAlign w:val="bottom"/>
            <w:hideMark/>
          </w:tcPr>
          <w:p w14:paraId="4883E6D6" w14:textId="77777777" w:rsidR="004E3103" w:rsidRPr="002B2821" w:rsidRDefault="004E3103" w:rsidP="004E3103">
            <w:pPr>
              <w:spacing w:after="0" w:line="240" w:lineRule="auto"/>
              <w:rPr>
                <w:lang w:eastAsia="en-GB"/>
              </w:rPr>
            </w:pPr>
          </w:p>
        </w:tc>
        <w:tc>
          <w:tcPr>
            <w:tcW w:w="1120" w:type="dxa"/>
            <w:tcBorders>
              <w:bottom w:val="single" w:sz="4" w:space="0" w:color="3C3C3C"/>
            </w:tcBorders>
            <w:shd w:val="clear" w:color="auto" w:fill="auto"/>
            <w:noWrap/>
            <w:vAlign w:val="bottom"/>
            <w:hideMark/>
          </w:tcPr>
          <w:p w14:paraId="073B831A"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11212A61" w14:textId="77777777" w:rsidR="004E3103" w:rsidRPr="002B2821" w:rsidRDefault="004E3103" w:rsidP="004E3103">
            <w:pPr>
              <w:spacing w:after="0" w:line="240" w:lineRule="auto"/>
              <w:rPr>
                <w:lang w:eastAsia="en-GB"/>
              </w:rPr>
            </w:pPr>
          </w:p>
        </w:tc>
      </w:tr>
      <w:tr w:rsidR="004E3103" w:rsidRPr="002B2821" w14:paraId="668A9ACE" w14:textId="77777777" w:rsidTr="000E7AE0">
        <w:trPr>
          <w:trHeight w:val="300"/>
        </w:trPr>
        <w:tc>
          <w:tcPr>
            <w:tcW w:w="3544" w:type="dxa"/>
            <w:gridSpan w:val="2"/>
            <w:tcBorders>
              <w:right w:val="single" w:sz="4" w:space="0" w:color="3C3C3C"/>
            </w:tcBorders>
            <w:shd w:val="clear" w:color="auto" w:fill="auto"/>
            <w:noWrap/>
            <w:vAlign w:val="bottom"/>
            <w:hideMark/>
          </w:tcPr>
          <w:p w14:paraId="45FDCD43" w14:textId="77777777" w:rsidR="004E3103" w:rsidRPr="002B2821" w:rsidRDefault="004E3103"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Balance as at 30 September 2017</w:t>
            </w:r>
          </w:p>
        </w:tc>
        <w:tc>
          <w:tcPr>
            <w:tcW w:w="1537" w:type="dxa"/>
            <w:tcBorders>
              <w:top w:val="single" w:sz="4" w:space="0" w:color="3C3C3C"/>
              <w:left w:val="single" w:sz="4" w:space="0" w:color="3C3C3C"/>
              <w:bottom w:val="single" w:sz="4" w:space="0" w:color="3C3C3C"/>
            </w:tcBorders>
            <w:shd w:val="clear" w:color="auto" w:fill="auto"/>
            <w:noWrap/>
            <w:vAlign w:val="bottom"/>
            <w:hideMark/>
          </w:tcPr>
          <w:p w14:paraId="34B85C35"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8,865</w:t>
            </w:r>
          </w:p>
        </w:tc>
        <w:tc>
          <w:tcPr>
            <w:tcW w:w="982" w:type="dxa"/>
            <w:tcBorders>
              <w:top w:val="single" w:sz="4" w:space="0" w:color="3C3C3C"/>
              <w:bottom w:val="single" w:sz="4" w:space="0" w:color="3C3C3C"/>
              <w:right w:val="single" w:sz="4" w:space="0" w:color="3C3C3C"/>
            </w:tcBorders>
            <w:shd w:val="clear" w:color="auto" w:fill="auto"/>
            <w:noWrap/>
            <w:vAlign w:val="bottom"/>
            <w:hideMark/>
          </w:tcPr>
          <w:p w14:paraId="1FB62111"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150,621</w:t>
            </w:r>
          </w:p>
        </w:tc>
        <w:tc>
          <w:tcPr>
            <w:tcW w:w="1240" w:type="dxa"/>
            <w:tcBorders>
              <w:top w:val="single" w:sz="4" w:space="0" w:color="3C3C3C"/>
              <w:left w:val="single" w:sz="4" w:space="0" w:color="3C3C3C"/>
              <w:bottom w:val="single" w:sz="4" w:space="0" w:color="3C3C3C"/>
            </w:tcBorders>
            <w:shd w:val="clear" w:color="auto" w:fill="auto"/>
            <w:noWrap/>
            <w:vAlign w:val="bottom"/>
            <w:hideMark/>
          </w:tcPr>
          <w:p w14:paraId="291F4B6A"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(585)</w:t>
            </w:r>
          </w:p>
        </w:tc>
        <w:tc>
          <w:tcPr>
            <w:tcW w:w="1120" w:type="dxa"/>
            <w:tcBorders>
              <w:top w:val="single" w:sz="4" w:space="0" w:color="3C3C3C"/>
              <w:bottom w:val="single" w:sz="4" w:space="0" w:color="3C3C3C"/>
              <w:right w:val="single" w:sz="4" w:space="0" w:color="3C3C3C"/>
            </w:tcBorders>
            <w:shd w:val="clear" w:color="auto" w:fill="auto"/>
            <w:noWrap/>
            <w:vAlign w:val="bottom"/>
            <w:hideMark/>
          </w:tcPr>
          <w:p w14:paraId="309CEADD" w14:textId="77777777" w:rsidR="004E3103" w:rsidRPr="002B2821" w:rsidRDefault="004E3103"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158,901</w:t>
            </w:r>
          </w:p>
        </w:tc>
        <w:tc>
          <w:tcPr>
            <w:tcW w:w="222" w:type="dxa"/>
            <w:tcBorders>
              <w:left w:val="single" w:sz="4" w:space="0" w:color="3C3C3C"/>
            </w:tcBorders>
            <w:shd w:val="clear" w:color="auto" w:fill="auto"/>
            <w:noWrap/>
            <w:vAlign w:val="bottom"/>
            <w:hideMark/>
          </w:tcPr>
          <w:p w14:paraId="0EEAF375" w14:textId="77777777" w:rsidR="004E3103" w:rsidRPr="002B2821" w:rsidRDefault="004E3103" w:rsidP="004E3103">
            <w:pPr>
              <w:spacing w:after="0" w:line="240" w:lineRule="auto"/>
              <w:jc w:val="right"/>
              <w:rPr>
                <w:rFonts w:ascii="Calibri" w:hAnsi="Calibri" w:cs="Arial"/>
                <w:color w:val="000000"/>
                <w:sz w:val="22"/>
                <w:szCs w:val="22"/>
                <w:lang w:eastAsia="en-GB"/>
              </w:rPr>
            </w:pPr>
          </w:p>
        </w:tc>
      </w:tr>
      <w:tr w:rsidR="004E3103" w:rsidRPr="002B2821" w14:paraId="43B9A2E5" w14:textId="77777777" w:rsidTr="000E7AE0">
        <w:trPr>
          <w:trHeight w:val="300"/>
        </w:trPr>
        <w:tc>
          <w:tcPr>
            <w:tcW w:w="2148" w:type="dxa"/>
            <w:shd w:val="clear" w:color="auto" w:fill="auto"/>
            <w:noWrap/>
            <w:vAlign w:val="bottom"/>
            <w:hideMark/>
          </w:tcPr>
          <w:p w14:paraId="6E61BFBA" w14:textId="77777777" w:rsidR="004E3103" w:rsidRPr="002B2821" w:rsidRDefault="004E3103" w:rsidP="004E3103">
            <w:pPr>
              <w:spacing w:after="0" w:line="240" w:lineRule="auto"/>
              <w:rPr>
                <w:lang w:eastAsia="en-GB"/>
              </w:rPr>
            </w:pPr>
          </w:p>
        </w:tc>
        <w:tc>
          <w:tcPr>
            <w:tcW w:w="1396" w:type="dxa"/>
            <w:shd w:val="clear" w:color="auto" w:fill="auto"/>
            <w:noWrap/>
            <w:vAlign w:val="bottom"/>
            <w:hideMark/>
          </w:tcPr>
          <w:p w14:paraId="37053C2E" w14:textId="77777777" w:rsidR="004E3103" w:rsidRPr="002B2821" w:rsidRDefault="004E3103" w:rsidP="004E3103">
            <w:pPr>
              <w:spacing w:after="0" w:line="240" w:lineRule="auto"/>
              <w:rPr>
                <w:lang w:eastAsia="en-GB"/>
              </w:rPr>
            </w:pPr>
          </w:p>
        </w:tc>
        <w:tc>
          <w:tcPr>
            <w:tcW w:w="1537" w:type="dxa"/>
            <w:shd w:val="clear" w:color="auto" w:fill="auto"/>
            <w:noWrap/>
            <w:vAlign w:val="bottom"/>
            <w:hideMark/>
          </w:tcPr>
          <w:p w14:paraId="5EE2830E" w14:textId="77777777" w:rsidR="004E3103" w:rsidRPr="002B2821" w:rsidRDefault="004E3103" w:rsidP="004E3103">
            <w:pPr>
              <w:spacing w:after="0" w:line="240" w:lineRule="auto"/>
              <w:rPr>
                <w:lang w:eastAsia="en-GB"/>
              </w:rPr>
            </w:pPr>
          </w:p>
        </w:tc>
        <w:tc>
          <w:tcPr>
            <w:tcW w:w="982" w:type="dxa"/>
            <w:tcBorders>
              <w:top w:val="single" w:sz="4" w:space="0" w:color="3C3C3C"/>
            </w:tcBorders>
            <w:shd w:val="clear" w:color="auto" w:fill="auto"/>
            <w:noWrap/>
            <w:vAlign w:val="bottom"/>
            <w:hideMark/>
          </w:tcPr>
          <w:p w14:paraId="32CAA1D4" w14:textId="77777777" w:rsidR="004E3103" w:rsidRPr="002B2821" w:rsidRDefault="004E3103" w:rsidP="004E3103">
            <w:pPr>
              <w:spacing w:after="0" w:line="240" w:lineRule="auto"/>
              <w:jc w:val="right"/>
              <w:rPr>
                <w:lang w:eastAsia="en-GB"/>
              </w:rPr>
            </w:pPr>
          </w:p>
        </w:tc>
        <w:tc>
          <w:tcPr>
            <w:tcW w:w="1240" w:type="dxa"/>
            <w:tcBorders>
              <w:top w:val="single" w:sz="4" w:space="0" w:color="3C3C3C"/>
            </w:tcBorders>
            <w:shd w:val="clear" w:color="auto" w:fill="auto"/>
            <w:noWrap/>
            <w:vAlign w:val="bottom"/>
            <w:hideMark/>
          </w:tcPr>
          <w:p w14:paraId="22AF1184" w14:textId="77777777" w:rsidR="004E3103" w:rsidRPr="002B2821" w:rsidRDefault="004E3103" w:rsidP="004E3103">
            <w:pPr>
              <w:spacing w:after="0" w:line="240" w:lineRule="auto"/>
              <w:rPr>
                <w:lang w:eastAsia="en-GB"/>
              </w:rPr>
            </w:pPr>
          </w:p>
        </w:tc>
        <w:tc>
          <w:tcPr>
            <w:tcW w:w="1120" w:type="dxa"/>
            <w:tcBorders>
              <w:top w:val="single" w:sz="4" w:space="0" w:color="3C3C3C"/>
            </w:tcBorders>
            <w:shd w:val="clear" w:color="auto" w:fill="auto"/>
            <w:noWrap/>
            <w:vAlign w:val="bottom"/>
            <w:hideMark/>
          </w:tcPr>
          <w:p w14:paraId="313FC414"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765205E9" w14:textId="77777777" w:rsidR="004E3103" w:rsidRPr="002B2821" w:rsidRDefault="004E3103" w:rsidP="004E3103">
            <w:pPr>
              <w:spacing w:after="0" w:line="240" w:lineRule="auto"/>
              <w:rPr>
                <w:lang w:eastAsia="en-GB"/>
              </w:rPr>
            </w:pPr>
          </w:p>
        </w:tc>
      </w:tr>
      <w:tr w:rsidR="004E3103" w:rsidRPr="002B2821" w14:paraId="46AC1D8B" w14:textId="77777777" w:rsidTr="000E7AE0">
        <w:trPr>
          <w:trHeight w:val="300"/>
        </w:trPr>
        <w:tc>
          <w:tcPr>
            <w:tcW w:w="2148" w:type="dxa"/>
            <w:shd w:val="clear" w:color="auto" w:fill="auto"/>
            <w:noWrap/>
            <w:vAlign w:val="bottom"/>
            <w:hideMark/>
          </w:tcPr>
          <w:p w14:paraId="6C7ADE95" w14:textId="77777777" w:rsidR="004E3103" w:rsidRPr="002B2821" w:rsidRDefault="004E3103" w:rsidP="004E3103">
            <w:pPr>
              <w:spacing w:after="0" w:line="240" w:lineRule="auto"/>
              <w:rPr>
                <w:lang w:eastAsia="en-GB"/>
              </w:rPr>
            </w:pPr>
          </w:p>
        </w:tc>
        <w:tc>
          <w:tcPr>
            <w:tcW w:w="1396" w:type="dxa"/>
            <w:shd w:val="clear" w:color="auto" w:fill="auto"/>
            <w:noWrap/>
            <w:vAlign w:val="bottom"/>
            <w:hideMark/>
          </w:tcPr>
          <w:p w14:paraId="40B9E1AE" w14:textId="77777777" w:rsidR="004E3103" w:rsidRPr="002B2821" w:rsidRDefault="004E3103" w:rsidP="004E3103">
            <w:pPr>
              <w:spacing w:after="0" w:line="240" w:lineRule="auto"/>
              <w:rPr>
                <w:lang w:eastAsia="en-GB"/>
              </w:rPr>
            </w:pPr>
          </w:p>
        </w:tc>
        <w:tc>
          <w:tcPr>
            <w:tcW w:w="1537" w:type="dxa"/>
            <w:tcBorders>
              <w:bottom w:val="single" w:sz="4" w:space="0" w:color="3C3C3C"/>
            </w:tcBorders>
            <w:shd w:val="clear" w:color="auto" w:fill="auto"/>
            <w:noWrap/>
            <w:vAlign w:val="bottom"/>
            <w:hideMark/>
          </w:tcPr>
          <w:p w14:paraId="3613AB40" w14:textId="77777777" w:rsidR="004E3103" w:rsidRPr="002B2821" w:rsidRDefault="004E3103" w:rsidP="004E3103">
            <w:pPr>
              <w:spacing w:after="0" w:line="240" w:lineRule="auto"/>
              <w:rPr>
                <w:lang w:eastAsia="en-GB"/>
              </w:rPr>
            </w:pPr>
          </w:p>
        </w:tc>
        <w:tc>
          <w:tcPr>
            <w:tcW w:w="982" w:type="dxa"/>
            <w:tcBorders>
              <w:bottom w:val="single" w:sz="4" w:space="0" w:color="3C3C3C"/>
            </w:tcBorders>
            <w:shd w:val="clear" w:color="auto" w:fill="auto"/>
            <w:noWrap/>
            <w:vAlign w:val="bottom"/>
            <w:hideMark/>
          </w:tcPr>
          <w:p w14:paraId="2B9D8454" w14:textId="77777777" w:rsidR="004E3103" w:rsidRPr="002B2821" w:rsidRDefault="004E3103" w:rsidP="004E3103">
            <w:pPr>
              <w:spacing w:after="0" w:line="240" w:lineRule="auto"/>
              <w:jc w:val="right"/>
              <w:rPr>
                <w:lang w:eastAsia="en-GB"/>
              </w:rPr>
            </w:pPr>
          </w:p>
        </w:tc>
        <w:tc>
          <w:tcPr>
            <w:tcW w:w="1240" w:type="dxa"/>
            <w:shd w:val="clear" w:color="auto" w:fill="auto"/>
            <w:noWrap/>
            <w:vAlign w:val="bottom"/>
            <w:hideMark/>
          </w:tcPr>
          <w:p w14:paraId="54EA4855" w14:textId="77777777" w:rsidR="004E3103" w:rsidRPr="002B2821" w:rsidRDefault="004E3103" w:rsidP="004E3103">
            <w:pPr>
              <w:spacing w:after="0" w:line="240" w:lineRule="auto"/>
              <w:rPr>
                <w:lang w:eastAsia="en-GB"/>
              </w:rPr>
            </w:pPr>
          </w:p>
        </w:tc>
        <w:tc>
          <w:tcPr>
            <w:tcW w:w="1120" w:type="dxa"/>
            <w:shd w:val="clear" w:color="auto" w:fill="auto"/>
            <w:noWrap/>
            <w:vAlign w:val="bottom"/>
            <w:hideMark/>
          </w:tcPr>
          <w:p w14:paraId="3AE5B919" w14:textId="77777777" w:rsidR="004E3103" w:rsidRPr="002B2821" w:rsidRDefault="004E3103" w:rsidP="004E3103">
            <w:pPr>
              <w:spacing w:after="0" w:line="240" w:lineRule="auto"/>
              <w:rPr>
                <w:lang w:eastAsia="en-GB"/>
              </w:rPr>
            </w:pPr>
          </w:p>
        </w:tc>
        <w:tc>
          <w:tcPr>
            <w:tcW w:w="222" w:type="dxa"/>
            <w:shd w:val="clear" w:color="auto" w:fill="auto"/>
            <w:noWrap/>
            <w:vAlign w:val="bottom"/>
            <w:hideMark/>
          </w:tcPr>
          <w:p w14:paraId="19FAD438" w14:textId="77777777" w:rsidR="004E3103" w:rsidRPr="002B2821" w:rsidRDefault="004E3103" w:rsidP="004E3103">
            <w:pPr>
              <w:spacing w:after="0" w:line="240" w:lineRule="auto"/>
              <w:rPr>
                <w:lang w:eastAsia="en-GB"/>
              </w:rPr>
            </w:pPr>
          </w:p>
        </w:tc>
      </w:tr>
      <w:tr w:rsidR="00D20B89" w:rsidRPr="002B2821" w14:paraId="394F4230" w14:textId="77777777" w:rsidTr="00531E34">
        <w:trPr>
          <w:trHeight w:val="300"/>
        </w:trPr>
        <w:tc>
          <w:tcPr>
            <w:tcW w:w="2148" w:type="dxa"/>
            <w:shd w:val="clear" w:color="auto" w:fill="auto"/>
            <w:noWrap/>
            <w:vAlign w:val="bottom"/>
            <w:hideMark/>
          </w:tcPr>
          <w:p w14:paraId="621C18D8"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6AF1F926" w14:textId="77777777" w:rsidR="00D20B89" w:rsidRPr="002B2821" w:rsidRDefault="00D20B89" w:rsidP="00D20B89">
            <w:pPr>
              <w:spacing w:after="0" w:line="240" w:lineRule="auto"/>
              <w:rPr>
                <w:lang w:eastAsia="en-GB"/>
              </w:rPr>
            </w:pPr>
          </w:p>
        </w:tc>
        <w:tc>
          <w:tcPr>
            <w:tcW w:w="2519" w:type="dxa"/>
            <w:gridSpan w:val="2"/>
            <w:tcBorders>
              <w:top w:val="single" w:sz="4" w:space="0" w:color="3C3C3C"/>
              <w:left w:val="single" w:sz="4" w:space="0" w:color="3C3C3C"/>
              <w:right w:val="single" w:sz="4" w:space="0" w:color="3C3C3C"/>
            </w:tcBorders>
            <w:shd w:val="clear" w:color="auto" w:fill="auto"/>
            <w:noWrap/>
            <w:vAlign w:val="center"/>
            <w:hideMark/>
          </w:tcPr>
          <w:p w14:paraId="169A5D01" w14:textId="2D0A18A3" w:rsidR="00D20B89" w:rsidRPr="002B2821" w:rsidRDefault="00D20B89" w:rsidP="00D20B89">
            <w:pPr>
              <w:spacing w:after="0" w:line="240" w:lineRule="auto"/>
              <w:jc w:val="right"/>
              <w:rPr>
                <w:rFonts w:ascii="Calibri" w:hAnsi="Calibri" w:cs="Arial"/>
                <w:b/>
                <w:bCs/>
                <w:color w:val="333399"/>
                <w:sz w:val="22"/>
                <w:szCs w:val="22"/>
                <w:lang w:eastAsia="en-GB"/>
              </w:rPr>
            </w:pPr>
            <w:r w:rsidRPr="000E7AE0">
              <w:rPr>
                <w:rFonts w:ascii="Calibri" w:hAnsi="Calibri" w:cs="Arial"/>
                <w:b/>
                <w:bCs/>
                <w:color w:val="333399"/>
                <w:sz w:val="24"/>
                <w:szCs w:val="22"/>
                <w:lang w:eastAsia="en-GB"/>
              </w:rPr>
              <w:t>Unrestricted funds</w:t>
            </w:r>
          </w:p>
        </w:tc>
        <w:tc>
          <w:tcPr>
            <w:tcW w:w="1240" w:type="dxa"/>
            <w:tcBorders>
              <w:left w:val="single" w:sz="4" w:space="0" w:color="3C3C3C"/>
            </w:tcBorders>
            <w:shd w:val="clear" w:color="auto" w:fill="auto"/>
            <w:noWrap/>
            <w:vAlign w:val="bottom"/>
            <w:hideMark/>
          </w:tcPr>
          <w:p w14:paraId="3AEE9D12" w14:textId="77777777" w:rsidR="00D20B89" w:rsidRPr="002B2821" w:rsidRDefault="00D20B89" w:rsidP="00D20B89">
            <w:pPr>
              <w:spacing w:after="0" w:line="240" w:lineRule="auto"/>
              <w:jc w:val="right"/>
              <w:rPr>
                <w:lang w:eastAsia="en-GB"/>
              </w:rPr>
            </w:pPr>
          </w:p>
        </w:tc>
        <w:tc>
          <w:tcPr>
            <w:tcW w:w="1120" w:type="dxa"/>
            <w:shd w:val="clear" w:color="auto" w:fill="auto"/>
            <w:noWrap/>
            <w:vAlign w:val="bottom"/>
            <w:hideMark/>
          </w:tcPr>
          <w:p w14:paraId="6F0C8DBC" w14:textId="77777777" w:rsidR="00D20B89" w:rsidRPr="002B2821" w:rsidRDefault="00D20B89" w:rsidP="00D20B89">
            <w:pPr>
              <w:spacing w:after="0" w:line="240" w:lineRule="auto"/>
              <w:jc w:val="right"/>
              <w:rPr>
                <w:lang w:eastAsia="en-GB"/>
              </w:rPr>
            </w:pPr>
          </w:p>
        </w:tc>
        <w:tc>
          <w:tcPr>
            <w:tcW w:w="222" w:type="dxa"/>
            <w:shd w:val="clear" w:color="auto" w:fill="auto"/>
            <w:noWrap/>
            <w:vAlign w:val="bottom"/>
            <w:hideMark/>
          </w:tcPr>
          <w:p w14:paraId="4FA6491A" w14:textId="77777777" w:rsidR="00D20B89" w:rsidRPr="002B2821" w:rsidRDefault="00D20B89" w:rsidP="00D20B89">
            <w:pPr>
              <w:spacing w:after="0" w:line="240" w:lineRule="auto"/>
              <w:jc w:val="right"/>
              <w:rPr>
                <w:lang w:eastAsia="en-GB"/>
              </w:rPr>
            </w:pPr>
          </w:p>
        </w:tc>
      </w:tr>
      <w:tr w:rsidR="00D20B89" w:rsidRPr="002B2821" w14:paraId="44BA2BFF" w14:textId="77777777" w:rsidTr="000E7AE0">
        <w:trPr>
          <w:trHeight w:val="300"/>
        </w:trPr>
        <w:tc>
          <w:tcPr>
            <w:tcW w:w="2148" w:type="dxa"/>
            <w:shd w:val="clear" w:color="auto" w:fill="auto"/>
            <w:noWrap/>
            <w:vAlign w:val="bottom"/>
            <w:hideMark/>
          </w:tcPr>
          <w:p w14:paraId="30AAF9D0"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Comparatives</w:t>
            </w:r>
          </w:p>
        </w:tc>
        <w:tc>
          <w:tcPr>
            <w:tcW w:w="1396" w:type="dxa"/>
            <w:tcBorders>
              <w:right w:val="single" w:sz="4" w:space="0" w:color="3C3C3C"/>
            </w:tcBorders>
            <w:shd w:val="clear" w:color="auto" w:fill="auto"/>
            <w:noWrap/>
            <w:vAlign w:val="bottom"/>
            <w:hideMark/>
          </w:tcPr>
          <w:p w14:paraId="2A3E7A41"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39E4D359" w14:textId="416F63C3" w:rsidR="00D20B89" w:rsidRPr="002B2821" w:rsidRDefault="0065093C"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982" w:type="dxa"/>
            <w:tcBorders>
              <w:right w:val="single" w:sz="4" w:space="0" w:color="3C3C3C"/>
            </w:tcBorders>
            <w:shd w:val="clear" w:color="auto" w:fill="auto"/>
            <w:noWrap/>
            <w:vAlign w:val="bottom"/>
            <w:hideMark/>
          </w:tcPr>
          <w:p w14:paraId="1A8CDEF7"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General</w:t>
            </w:r>
          </w:p>
        </w:tc>
        <w:tc>
          <w:tcPr>
            <w:tcW w:w="1240" w:type="dxa"/>
            <w:tcBorders>
              <w:left w:val="single" w:sz="4" w:space="0" w:color="3C3C3C"/>
            </w:tcBorders>
            <w:shd w:val="clear" w:color="auto" w:fill="auto"/>
            <w:noWrap/>
            <w:vAlign w:val="bottom"/>
            <w:hideMark/>
          </w:tcPr>
          <w:p w14:paraId="29527735"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Restricted</w:t>
            </w:r>
          </w:p>
        </w:tc>
        <w:tc>
          <w:tcPr>
            <w:tcW w:w="1120" w:type="dxa"/>
            <w:shd w:val="clear" w:color="auto" w:fill="auto"/>
            <w:noWrap/>
            <w:vAlign w:val="bottom"/>
            <w:hideMark/>
          </w:tcPr>
          <w:p w14:paraId="5BB3FF0C"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Total</w:t>
            </w:r>
          </w:p>
        </w:tc>
        <w:tc>
          <w:tcPr>
            <w:tcW w:w="222" w:type="dxa"/>
            <w:shd w:val="clear" w:color="auto" w:fill="auto"/>
            <w:noWrap/>
            <w:vAlign w:val="bottom"/>
            <w:hideMark/>
          </w:tcPr>
          <w:p w14:paraId="234C648D" w14:textId="77777777" w:rsidR="00D20B89" w:rsidRPr="002B2821" w:rsidRDefault="00D20B89" w:rsidP="00D20B89">
            <w:pPr>
              <w:spacing w:after="0" w:line="240" w:lineRule="auto"/>
              <w:jc w:val="right"/>
              <w:rPr>
                <w:rFonts w:ascii="Calibri" w:hAnsi="Calibri" w:cs="Arial"/>
                <w:b/>
                <w:bCs/>
                <w:color w:val="333399"/>
                <w:sz w:val="22"/>
                <w:szCs w:val="22"/>
                <w:lang w:eastAsia="en-GB"/>
              </w:rPr>
            </w:pPr>
          </w:p>
        </w:tc>
      </w:tr>
      <w:tr w:rsidR="00D20B89" w:rsidRPr="002B2821" w14:paraId="1934B7E3" w14:textId="77777777" w:rsidTr="000E7AE0">
        <w:trPr>
          <w:trHeight w:val="300"/>
        </w:trPr>
        <w:tc>
          <w:tcPr>
            <w:tcW w:w="2148" w:type="dxa"/>
            <w:shd w:val="clear" w:color="auto" w:fill="auto"/>
            <w:noWrap/>
            <w:vAlign w:val="bottom"/>
            <w:hideMark/>
          </w:tcPr>
          <w:p w14:paraId="3536A703"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0CB1DB9C" w14:textId="77777777" w:rsidR="00D20B89" w:rsidRPr="002B2821" w:rsidRDefault="00D20B89" w:rsidP="00D20B89">
            <w:pPr>
              <w:spacing w:after="0" w:line="240" w:lineRule="auto"/>
              <w:rPr>
                <w:lang w:eastAsia="en-GB"/>
              </w:rPr>
            </w:pPr>
          </w:p>
        </w:tc>
        <w:tc>
          <w:tcPr>
            <w:tcW w:w="1537" w:type="dxa"/>
            <w:tcBorders>
              <w:left w:val="single" w:sz="4" w:space="0" w:color="3C3C3C"/>
            </w:tcBorders>
            <w:shd w:val="clear" w:color="auto" w:fill="auto"/>
            <w:noWrap/>
            <w:vAlign w:val="bottom"/>
            <w:hideMark/>
          </w:tcPr>
          <w:p w14:paraId="1E42A805" w14:textId="3906595F" w:rsidR="00D20B89" w:rsidRPr="002B2821" w:rsidRDefault="0065093C" w:rsidP="00D20B89">
            <w:pPr>
              <w:spacing w:after="0" w:line="240" w:lineRule="auto"/>
              <w:jc w:val="right"/>
              <w:rPr>
                <w:rFonts w:ascii="Calibri" w:hAnsi="Calibri" w:cs="Arial"/>
                <w:b/>
                <w:bCs/>
                <w:color w:val="333399"/>
                <w:sz w:val="22"/>
                <w:szCs w:val="22"/>
                <w:lang w:eastAsia="en-GB"/>
              </w:rPr>
            </w:pPr>
            <w:r>
              <w:rPr>
                <w:rFonts w:ascii="Calibri" w:hAnsi="Calibri" w:cs="Arial"/>
                <w:b/>
                <w:bCs/>
                <w:color w:val="333399"/>
                <w:sz w:val="22"/>
                <w:szCs w:val="22"/>
                <w:lang w:eastAsia="en-GB"/>
              </w:rPr>
              <w:t>m</w:t>
            </w:r>
            <w:r w:rsidRPr="0065093C">
              <w:rPr>
                <w:rFonts w:ascii="Calibri" w:hAnsi="Calibri" w:cs="Arial"/>
                <w:b/>
                <w:bCs/>
                <w:color w:val="333399"/>
                <w:sz w:val="22"/>
                <w:szCs w:val="22"/>
                <w:lang w:eastAsia="en-GB"/>
              </w:rPr>
              <w:t>emorandum</w:t>
            </w:r>
          </w:p>
        </w:tc>
        <w:tc>
          <w:tcPr>
            <w:tcW w:w="982" w:type="dxa"/>
            <w:tcBorders>
              <w:right w:val="single" w:sz="4" w:space="0" w:color="3C3C3C"/>
            </w:tcBorders>
            <w:shd w:val="clear" w:color="auto" w:fill="auto"/>
            <w:noWrap/>
            <w:vAlign w:val="bottom"/>
            <w:hideMark/>
          </w:tcPr>
          <w:p w14:paraId="7E349211"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w:t>
            </w:r>
          </w:p>
        </w:tc>
        <w:tc>
          <w:tcPr>
            <w:tcW w:w="1240" w:type="dxa"/>
            <w:tcBorders>
              <w:left w:val="single" w:sz="4" w:space="0" w:color="3C3C3C"/>
            </w:tcBorders>
            <w:shd w:val="clear" w:color="auto" w:fill="auto"/>
            <w:noWrap/>
            <w:vAlign w:val="bottom"/>
            <w:hideMark/>
          </w:tcPr>
          <w:p w14:paraId="41D4969A"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1120" w:type="dxa"/>
            <w:shd w:val="clear" w:color="auto" w:fill="auto"/>
            <w:noWrap/>
            <w:vAlign w:val="bottom"/>
            <w:hideMark/>
          </w:tcPr>
          <w:p w14:paraId="13A278AD"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Trust</w:t>
            </w:r>
          </w:p>
        </w:tc>
        <w:tc>
          <w:tcPr>
            <w:tcW w:w="222" w:type="dxa"/>
            <w:shd w:val="clear" w:color="auto" w:fill="auto"/>
            <w:noWrap/>
            <w:vAlign w:val="bottom"/>
            <w:hideMark/>
          </w:tcPr>
          <w:p w14:paraId="5AFC3972" w14:textId="77777777" w:rsidR="00D20B89" w:rsidRPr="002B2821" w:rsidRDefault="00D20B89" w:rsidP="00D20B89">
            <w:pPr>
              <w:spacing w:after="0" w:line="240" w:lineRule="auto"/>
              <w:jc w:val="right"/>
              <w:rPr>
                <w:rFonts w:ascii="Calibri" w:hAnsi="Calibri" w:cs="Arial"/>
                <w:b/>
                <w:bCs/>
                <w:color w:val="333399"/>
                <w:sz w:val="22"/>
                <w:szCs w:val="22"/>
                <w:lang w:eastAsia="en-GB"/>
              </w:rPr>
            </w:pPr>
          </w:p>
        </w:tc>
      </w:tr>
      <w:tr w:rsidR="00D20B89" w:rsidRPr="002B2821" w14:paraId="1B691857" w14:textId="77777777" w:rsidTr="000E7AE0">
        <w:trPr>
          <w:trHeight w:val="300"/>
        </w:trPr>
        <w:tc>
          <w:tcPr>
            <w:tcW w:w="2148" w:type="dxa"/>
            <w:shd w:val="clear" w:color="auto" w:fill="auto"/>
            <w:noWrap/>
            <w:vAlign w:val="bottom"/>
            <w:hideMark/>
          </w:tcPr>
          <w:p w14:paraId="167F4168"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2AFCE044" w14:textId="77777777" w:rsidR="00D20B89" w:rsidRPr="002B2821" w:rsidRDefault="00D20B89" w:rsidP="00D20B89">
            <w:pPr>
              <w:spacing w:after="0" w:line="240" w:lineRule="auto"/>
              <w:rPr>
                <w:lang w:eastAsia="en-GB"/>
              </w:rPr>
            </w:pPr>
          </w:p>
        </w:tc>
        <w:tc>
          <w:tcPr>
            <w:tcW w:w="1537" w:type="dxa"/>
            <w:tcBorders>
              <w:left w:val="single" w:sz="4" w:space="0" w:color="3C3C3C"/>
            </w:tcBorders>
            <w:shd w:val="clear" w:color="auto" w:fill="auto"/>
            <w:noWrap/>
            <w:vAlign w:val="bottom"/>
            <w:hideMark/>
          </w:tcPr>
          <w:p w14:paraId="42344DFF"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982" w:type="dxa"/>
            <w:tcBorders>
              <w:right w:val="single" w:sz="4" w:space="0" w:color="3C3C3C"/>
            </w:tcBorders>
            <w:shd w:val="clear" w:color="auto" w:fill="auto"/>
            <w:noWrap/>
            <w:vAlign w:val="bottom"/>
            <w:hideMark/>
          </w:tcPr>
          <w:p w14:paraId="6BA0F970" w14:textId="77777777" w:rsidR="00D20B89" w:rsidRPr="002B2821" w:rsidRDefault="00D20B89" w:rsidP="00D20B89">
            <w:pPr>
              <w:spacing w:after="0" w:line="240" w:lineRule="auto"/>
              <w:jc w:val="right"/>
              <w:rPr>
                <w:rFonts w:ascii="Calibri" w:hAnsi="Calibri" w:cs="Arial"/>
                <w:b/>
                <w:bCs/>
                <w:color w:val="333399"/>
                <w:sz w:val="22"/>
                <w:szCs w:val="22"/>
                <w:lang w:eastAsia="en-GB"/>
              </w:rPr>
            </w:pPr>
          </w:p>
        </w:tc>
        <w:tc>
          <w:tcPr>
            <w:tcW w:w="1240" w:type="dxa"/>
            <w:tcBorders>
              <w:left w:val="single" w:sz="4" w:space="0" w:color="3C3C3C"/>
            </w:tcBorders>
            <w:shd w:val="clear" w:color="auto" w:fill="auto"/>
            <w:noWrap/>
            <w:vAlign w:val="bottom"/>
            <w:hideMark/>
          </w:tcPr>
          <w:p w14:paraId="198E3AAC" w14:textId="77777777" w:rsidR="00D20B89" w:rsidRPr="002B2821" w:rsidRDefault="00D20B89" w:rsidP="00D20B89">
            <w:pPr>
              <w:spacing w:after="0" w:line="240" w:lineRule="auto"/>
              <w:jc w:val="right"/>
              <w:rPr>
                <w:lang w:eastAsia="en-GB"/>
              </w:rPr>
            </w:pPr>
          </w:p>
        </w:tc>
        <w:tc>
          <w:tcPr>
            <w:tcW w:w="1120" w:type="dxa"/>
            <w:shd w:val="clear" w:color="auto" w:fill="auto"/>
            <w:noWrap/>
            <w:vAlign w:val="bottom"/>
            <w:hideMark/>
          </w:tcPr>
          <w:p w14:paraId="006D8B11"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Funds</w:t>
            </w:r>
          </w:p>
        </w:tc>
        <w:tc>
          <w:tcPr>
            <w:tcW w:w="222" w:type="dxa"/>
            <w:shd w:val="clear" w:color="auto" w:fill="auto"/>
            <w:noWrap/>
            <w:vAlign w:val="bottom"/>
            <w:hideMark/>
          </w:tcPr>
          <w:p w14:paraId="057CAF98" w14:textId="77777777" w:rsidR="00D20B89" w:rsidRPr="002B2821" w:rsidRDefault="00D20B89" w:rsidP="00D20B89">
            <w:pPr>
              <w:spacing w:after="0" w:line="240" w:lineRule="auto"/>
              <w:jc w:val="right"/>
              <w:rPr>
                <w:rFonts w:ascii="Calibri" w:hAnsi="Calibri" w:cs="Arial"/>
                <w:b/>
                <w:bCs/>
                <w:color w:val="333399"/>
                <w:sz w:val="22"/>
                <w:szCs w:val="22"/>
                <w:lang w:eastAsia="en-GB"/>
              </w:rPr>
            </w:pPr>
          </w:p>
        </w:tc>
      </w:tr>
      <w:tr w:rsidR="00D20B89" w:rsidRPr="002B2821" w14:paraId="50FAC2BC" w14:textId="77777777" w:rsidTr="000E7AE0">
        <w:trPr>
          <w:trHeight w:val="300"/>
        </w:trPr>
        <w:tc>
          <w:tcPr>
            <w:tcW w:w="2148" w:type="dxa"/>
            <w:shd w:val="clear" w:color="auto" w:fill="auto"/>
            <w:noWrap/>
            <w:vAlign w:val="bottom"/>
            <w:hideMark/>
          </w:tcPr>
          <w:p w14:paraId="29D77078"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49028240" w14:textId="77777777" w:rsidR="00D20B89" w:rsidRPr="002B2821" w:rsidRDefault="00D20B89" w:rsidP="00D20B89">
            <w:pPr>
              <w:spacing w:after="0" w:line="240" w:lineRule="auto"/>
              <w:rPr>
                <w:lang w:eastAsia="en-GB"/>
              </w:rPr>
            </w:pPr>
          </w:p>
        </w:tc>
        <w:tc>
          <w:tcPr>
            <w:tcW w:w="1537" w:type="dxa"/>
            <w:tcBorders>
              <w:left w:val="single" w:sz="4" w:space="0" w:color="3C3C3C"/>
            </w:tcBorders>
            <w:shd w:val="clear" w:color="auto" w:fill="auto"/>
            <w:noWrap/>
            <w:vAlign w:val="bottom"/>
            <w:hideMark/>
          </w:tcPr>
          <w:p w14:paraId="004B9A7F"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982" w:type="dxa"/>
            <w:tcBorders>
              <w:right w:val="single" w:sz="4" w:space="0" w:color="3C3C3C"/>
            </w:tcBorders>
            <w:shd w:val="clear" w:color="auto" w:fill="auto"/>
            <w:noWrap/>
            <w:vAlign w:val="bottom"/>
            <w:hideMark/>
          </w:tcPr>
          <w:p w14:paraId="6F72AFA2"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240" w:type="dxa"/>
            <w:tcBorders>
              <w:left w:val="single" w:sz="4" w:space="0" w:color="3C3C3C"/>
            </w:tcBorders>
            <w:shd w:val="clear" w:color="auto" w:fill="auto"/>
            <w:noWrap/>
            <w:vAlign w:val="bottom"/>
            <w:hideMark/>
          </w:tcPr>
          <w:p w14:paraId="1DC8CE38"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120" w:type="dxa"/>
            <w:shd w:val="clear" w:color="auto" w:fill="auto"/>
            <w:noWrap/>
            <w:vAlign w:val="bottom"/>
            <w:hideMark/>
          </w:tcPr>
          <w:p w14:paraId="3B9BFFA7" w14:textId="77777777" w:rsidR="00D20B89" w:rsidRPr="002B2821" w:rsidRDefault="00D20B89" w:rsidP="00D20B89">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222" w:type="dxa"/>
            <w:shd w:val="clear" w:color="auto" w:fill="auto"/>
            <w:noWrap/>
            <w:vAlign w:val="bottom"/>
            <w:hideMark/>
          </w:tcPr>
          <w:p w14:paraId="6AAB842E" w14:textId="77777777" w:rsidR="00D20B89" w:rsidRPr="002B2821" w:rsidRDefault="00D20B89" w:rsidP="00D20B89">
            <w:pPr>
              <w:spacing w:after="0" w:line="240" w:lineRule="auto"/>
              <w:jc w:val="right"/>
              <w:rPr>
                <w:rFonts w:ascii="Calibri" w:hAnsi="Calibri" w:cs="Arial"/>
                <w:b/>
                <w:bCs/>
                <w:color w:val="333399"/>
                <w:sz w:val="22"/>
                <w:szCs w:val="22"/>
                <w:lang w:eastAsia="en-GB"/>
              </w:rPr>
            </w:pPr>
          </w:p>
        </w:tc>
      </w:tr>
      <w:tr w:rsidR="00D20B89" w:rsidRPr="002B2821" w14:paraId="1A3563BB" w14:textId="77777777" w:rsidTr="000E7AE0">
        <w:trPr>
          <w:trHeight w:val="300"/>
        </w:trPr>
        <w:tc>
          <w:tcPr>
            <w:tcW w:w="2148" w:type="dxa"/>
            <w:shd w:val="clear" w:color="auto" w:fill="auto"/>
            <w:noWrap/>
            <w:vAlign w:val="bottom"/>
            <w:hideMark/>
          </w:tcPr>
          <w:p w14:paraId="3F0D80F6"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04192EF8" w14:textId="77777777" w:rsidR="00D20B89" w:rsidRPr="002B2821" w:rsidRDefault="00D20B89" w:rsidP="00D20B89">
            <w:pPr>
              <w:spacing w:after="0" w:line="240" w:lineRule="auto"/>
              <w:rPr>
                <w:lang w:eastAsia="en-GB"/>
              </w:rPr>
            </w:pPr>
          </w:p>
        </w:tc>
        <w:tc>
          <w:tcPr>
            <w:tcW w:w="1537" w:type="dxa"/>
            <w:tcBorders>
              <w:left w:val="single" w:sz="4" w:space="0" w:color="3C3C3C"/>
            </w:tcBorders>
            <w:shd w:val="clear" w:color="auto" w:fill="auto"/>
            <w:noWrap/>
            <w:vAlign w:val="bottom"/>
            <w:hideMark/>
          </w:tcPr>
          <w:p w14:paraId="552B8C27" w14:textId="77777777" w:rsidR="00D20B89" w:rsidRPr="002B2821" w:rsidRDefault="00D20B89" w:rsidP="00D20B89">
            <w:pPr>
              <w:spacing w:after="0" w:line="240" w:lineRule="auto"/>
              <w:rPr>
                <w:lang w:eastAsia="en-GB"/>
              </w:rPr>
            </w:pPr>
          </w:p>
        </w:tc>
        <w:tc>
          <w:tcPr>
            <w:tcW w:w="982" w:type="dxa"/>
            <w:tcBorders>
              <w:right w:val="single" w:sz="4" w:space="0" w:color="3C3C3C"/>
            </w:tcBorders>
            <w:shd w:val="clear" w:color="auto" w:fill="auto"/>
            <w:noWrap/>
            <w:vAlign w:val="bottom"/>
            <w:hideMark/>
          </w:tcPr>
          <w:p w14:paraId="02AC8685" w14:textId="77777777" w:rsidR="00D20B89" w:rsidRPr="002B2821" w:rsidRDefault="00D20B89" w:rsidP="00D20B89">
            <w:pPr>
              <w:spacing w:after="0" w:line="240" w:lineRule="auto"/>
              <w:jc w:val="center"/>
              <w:rPr>
                <w:lang w:eastAsia="en-GB"/>
              </w:rPr>
            </w:pPr>
          </w:p>
        </w:tc>
        <w:tc>
          <w:tcPr>
            <w:tcW w:w="1240" w:type="dxa"/>
            <w:tcBorders>
              <w:left w:val="single" w:sz="4" w:space="0" w:color="3C3C3C"/>
            </w:tcBorders>
            <w:shd w:val="clear" w:color="auto" w:fill="auto"/>
            <w:noWrap/>
            <w:vAlign w:val="bottom"/>
            <w:hideMark/>
          </w:tcPr>
          <w:p w14:paraId="2FB14155" w14:textId="77777777" w:rsidR="00D20B89" w:rsidRPr="002B2821" w:rsidRDefault="00D20B89" w:rsidP="00D20B89">
            <w:pPr>
              <w:spacing w:after="0" w:line="240" w:lineRule="auto"/>
              <w:jc w:val="center"/>
              <w:rPr>
                <w:lang w:eastAsia="en-GB"/>
              </w:rPr>
            </w:pPr>
          </w:p>
        </w:tc>
        <w:tc>
          <w:tcPr>
            <w:tcW w:w="1120" w:type="dxa"/>
            <w:shd w:val="clear" w:color="auto" w:fill="auto"/>
            <w:noWrap/>
            <w:vAlign w:val="bottom"/>
            <w:hideMark/>
          </w:tcPr>
          <w:p w14:paraId="3E242961" w14:textId="77777777" w:rsidR="00D20B89" w:rsidRPr="002B2821" w:rsidRDefault="00D20B89" w:rsidP="00D20B89">
            <w:pPr>
              <w:spacing w:after="0" w:line="240" w:lineRule="auto"/>
              <w:jc w:val="center"/>
              <w:rPr>
                <w:lang w:eastAsia="en-GB"/>
              </w:rPr>
            </w:pPr>
          </w:p>
        </w:tc>
        <w:tc>
          <w:tcPr>
            <w:tcW w:w="222" w:type="dxa"/>
            <w:shd w:val="clear" w:color="auto" w:fill="auto"/>
            <w:noWrap/>
            <w:vAlign w:val="bottom"/>
            <w:hideMark/>
          </w:tcPr>
          <w:p w14:paraId="0C54545E" w14:textId="77777777" w:rsidR="00D20B89" w:rsidRPr="002B2821" w:rsidRDefault="00D20B89" w:rsidP="00D20B89">
            <w:pPr>
              <w:spacing w:after="0" w:line="240" w:lineRule="auto"/>
              <w:jc w:val="center"/>
              <w:rPr>
                <w:lang w:eastAsia="en-GB"/>
              </w:rPr>
            </w:pPr>
          </w:p>
        </w:tc>
      </w:tr>
      <w:tr w:rsidR="00D20B89" w:rsidRPr="002B2821" w14:paraId="52BC6468" w14:textId="77777777" w:rsidTr="000E7AE0">
        <w:trPr>
          <w:trHeight w:val="300"/>
        </w:trPr>
        <w:tc>
          <w:tcPr>
            <w:tcW w:w="2148" w:type="dxa"/>
            <w:shd w:val="clear" w:color="auto" w:fill="auto"/>
            <w:noWrap/>
            <w:vAlign w:val="bottom"/>
            <w:hideMark/>
          </w:tcPr>
          <w:p w14:paraId="0D3FBEA6"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Fixed Assets</w:t>
            </w:r>
          </w:p>
        </w:tc>
        <w:tc>
          <w:tcPr>
            <w:tcW w:w="1396" w:type="dxa"/>
            <w:tcBorders>
              <w:right w:val="single" w:sz="4" w:space="0" w:color="3C3C3C"/>
            </w:tcBorders>
            <w:shd w:val="clear" w:color="auto" w:fill="auto"/>
            <w:noWrap/>
            <w:vAlign w:val="bottom"/>
            <w:hideMark/>
          </w:tcPr>
          <w:p w14:paraId="6181A53E"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45AD2B8B" w14:textId="77777777" w:rsidR="00D20B89" w:rsidRPr="002B2821" w:rsidRDefault="00D20B89" w:rsidP="00D20B89">
            <w:pPr>
              <w:spacing w:after="0" w:line="240" w:lineRule="auto"/>
              <w:rPr>
                <w:lang w:eastAsia="en-GB"/>
              </w:rPr>
            </w:pPr>
          </w:p>
        </w:tc>
        <w:tc>
          <w:tcPr>
            <w:tcW w:w="982" w:type="dxa"/>
            <w:tcBorders>
              <w:right w:val="single" w:sz="4" w:space="0" w:color="3C3C3C"/>
            </w:tcBorders>
            <w:shd w:val="clear" w:color="auto" w:fill="auto"/>
            <w:noWrap/>
            <w:vAlign w:val="bottom"/>
            <w:hideMark/>
          </w:tcPr>
          <w:p w14:paraId="1F6C3C2E" w14:textId="77777777" w:rsidR="00D20B89" w:rsidRPr="002B2821" w:rsidRDefault="00D20B89" w:rsidP="00D20B89">
            <w:pPr>
              <w:spacing w:after="0" w:line="240" w:lineRule="auto"/>
              <w:rPr>
                <w:lang w:eastAsia="en-GB"/>
              </w:rPr>
            </w:pPr>
          </w:p>
        </w:tc>
        <w:tc>
          <w:tcPr>
            <w:tcW w:w="1240" w:type="dxa"/>
            <w:tcBorders>
              <w:left w:val="single" w:sz="4" w:space="0" w:color="3C3C3C"/>
            </w:tcBorders>
            <w:shd w:val="clear" w:color="auto" w:fill="auto"/>
            <w:noWrap/>
            <w:vAlign w:val="bottom"/>
            <w:hideMark/>
          </w:tcPr>
          <w:p w14:paraId="164D6B88" w14:textId="77777777" w:rsidR="00D20B89" w:rsidRPr="002B2821" w:rsidRDefault="00D20B89" w:rsidP="00D20B89">
            <w:pPr>
              <w:spacing w:after="0" w:line="240" w:lineRule="auto"/>
              <w:rPr>
                <w:lang w:eastAsia="en-GB"/>
              </w:rPr>
            </w:pPr>
          </w:p>
        </w:tc>
        <w:tc>
          <w:tcPr>
            <w:tcW w:w="1120" w:type="dxa"/>
            <w:shd w:val="clear" w:color="auto" w:fill="auto"/>
            <w:noWrap/>
            <w:vAlign w:val="bottom"/>
            <w:hideMark/>
          </w:tcPr>
          <w:p w14:paraId="33230A70"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62542FD8" w14:textId="77777777" w:rsidR="00D20B89" w:rsidRPr="002B2821" w:rsidRDefault="00D20B89" w:rsidP="00D20B89">
            <w:pPr>
              <w:spacing w:after="0" w:line="240" w:lineRule="auto"/>
              <w:rPr>
                <w:lang w:eastAsia="en-GB"/>
              </w:rPr>
            </w:pPr>
          </w:p>
        </w:tc>
      </w:tr>
      <w:tr w:rsidR="00D20B89" w:rsidRPr="002B2821" w14:paraId="77087F61" w14:textId="77777777" w:rsidTr="000E7AE0">
        <w:trPr>
          <w:trHeight w:val="300"/>
        </w:trPr>
        <w:tc>
          <w:tcPr>
            <w:tcW w:w="2148" w:type="dxa"/>
            <w:shd w:val="clear" w:color="auto" w:fill="auto"/>
            <w:noWrap/>
            <w:vAlign w:val="bottom"/>
            <w:hideMark/>
          </w:tcPr>
          <w:p w14:paraId="2064DC0D"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Tangible</w:t>
            </w:r>
          </w:p>
        </w:tc>
        <w:tc>
          <w:tcPr>
            <w:tcW w:w="1396" w:type="dxa"/>
            <w:tcBorders>
              <w:right w:val="single" w:sz="4" w:space="0" w:color="3C3C3C"/>
            </w:tcBorders>
            <w:shd w:val="clear" w:color="auto" w:fill="auto"/>
            <w:noWrap/>
            <w:vAlign w:val="bottom"/>
            <w:hideMark/>
          </w:tcPr>
          <w:p w14:paraId="585A9246"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25AA6012"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143467CF"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368</w:t>
            </w:r>
          </w:p>
        </w:tc>
        <w:tc>
          <w:tcPr>
            <w:tcW w:w="1240" w:type="dxa"/>
            <w:tcBorders>
              <w:left w:val="single" w:sz="4" w:space="0" w:color="3C3C3C"/>
            </w:tcBorders>
            <w:shd w:val="clear" w:color="auto" w:fill="auto"/>
            <w:noWrap/>
            <w:vAlign w:val="bottom"/>
            <w:hideMark/>
          </w:tcPr>
          <w:p w14:paraId="397F3ECD"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619906B4"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368</w:t>
            </w:r>
          </w:p>
        </w:tc>
        <w:tc>
          <w:tcPr>
            <w:tcW w:w="222" w:type="dxa"/>
            <w:shd w:val="clear" w:color="auto" w:fill="auto"/>
            <w:noWrap/>
            <w:vAlign w:val="bottom"/>
            <w:hideMark/>
          </w:tcPr>
          <w:p w14:paraId="46A30520"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31811325" w14:textId="77777777" w:rsidTr="000E7AE0">
        <w:trPr>
          <w:trHeight w:val="300"/>
        </w:trPr>
        <w:tc>
          <w:tcPr>
            <w:tcW w:w="2148" w:type="dxa"/>
            <w:shd w:val="clear" w:color="auto" w:fill="auto"/>
            <w:noWrap/>
            <w:vAlign w:val="bottom"/>
            <w:hideMark/>
          </w:tcPr>
          <w:p w14:paraId="1C0B9584"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Investments</w:t>
            </w:r>
          </w:p>
        </w:tc>
        <w:tc>
          <w:tcPr>
            <w:tcW w:w="1396" w:type="dxa"/>
            <w:tcBorders>
              <w:right w:val="single" w:sz="4" w:space="0" w:color="3C3C3C"/>
            </w:tcBorders>
            <w:shd w:val="clear" w:color="auto" w:fill="auto"/>
            <w:noWrap/>
            <w:vAlign w:val="bottom"/>
            <w:hideMark/>
          </w:tcPr>
          <w:p w14:paraId="0373A460"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0675ABEE"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8,770</w:t>
            </w:r>
          </w:p>
        </w:tc>
        <w:tc>
          <w:tcPr>
            <w:tcW w:w="982" w:type="dxa"/>
            <w:tcBorders>
              <w:right w:val="single" w:sz="4" w:space="0" w:color="3C3C3C"/>
            </w:tcBorders>
            <w:shd w:val="clear" w:color="auto" w:fill="auto"/>
            <w:noWrap/>
            <w:vAlign w:val="bottom"/>
            <w:hideMark/>
          </w:tcPr>
          <w:p w14:paraId="6B516DA6"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148,996</w:t>
            </w:r>
          </w:p>
        </w:tc>
        <w:tc>
          <w:tcPr>
            <w:tcW w:w="1240" w:type="dxa"/>
            <w:tcBorders>
              <w:left w:val="single" w:sz="4" w:space="0" w:color="3C3C3C"/>
            </w:tcBorders>
            <w:shd w:val="clear" w:color="auto" w:fill="auto"/>
            <w:noWrap/>
            <w:vAlign w:val="bottom"/>
            <w:hideMark/>
          </w:tcPr>
          <w:p w14:paraId="2DE86F3E"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490073C4"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157,766</w:t>
            </w:r>
          </w:p>
        </w:tc>
        <w:tc>
          <w:tcPr>
            <w:tcW w:w="222" w:type="dxa"/>
            <w:shd w:val="clear" w:color="auto" w:fill="auto"/>
            <w:noWrap/>
            <w:vAlign w:val="bottom"/>
            <w:hideMark/>
          </w:tcPr>
          <w:p w14:paraId="316602AA"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504C955E" w14:textId="77777777" w:rsidTr="000E7AE0">
        <w:trPr>
          <w:trHeight w:val="300"/>
        </w:trPr>
        <w:tc>
          <w:tcPr>
            <w:tcW w:w="2148" w:type="dxa"/>
            <w:shd w:val="clear" w:color="auto" w:fill="auto"/>
            <w:noWrap/>
            <w:vAlign w:val="bottom"/>
            <w:hideMark/>
          </w:tcPr>
          <w:p w14:paraId="3FC82EAF"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Current Assets</w:t>
            </w:r>
          </w:p>
        </w:tc>
        <w:tc>
          <w:tcPr>
            <w:tcW w:w="1396" w:type="dxa"/>
            <w:tcBorders>
              <w:right w:val="single" w:sz="4" w:space="0" w:color="3C3C3C"/>
            </w:tcBorders>
            <w:shd w:val="clear" w:color="auto" w:fill="auto"/>
            <w:noWrap/>
            <w:vAlign w:val="bottom"/>
            <w:hideMark/>
          </w:tcPr>
          <w:p w14:paraId="7DB3CAE9"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757C3697" w14:textId="77777777" w:rsidR="00D20B89" w:rsidRPr="002B2821" w:rsidRDefault="00D20B89" w:rsidP="00D20B89">
            <w:pPr>
              <w:spacing w:after="0" w:line="240" w:lineRule="auto"/>
              <w:rPr>
                <w:lang w:eastAsia="en-GB"/>
              </w:rPr>
            </w:pPr>
          </w:p>
        </w:tc>
        <w:tc>
          <w:tcPr>
            <w:tcW w:w="982" w:type="dxa"/>
            <w:tcBorders>
              <w:right w:val="single" w:sz="4" w:space="0" w:color="3C3C3C"/>
            </w:tcBorders>
            <w:shd w:val="clear" w:color="auto" w:fill="auto"/>
            <w:noWrap/>
            <w:vAlign w:val="bottom"/>
            <w:hideMark/>
          </w:tcPr>
          <w:p w14:paraId="39473910" w14:textId="77777777" w:rsidR="00D20B89" w:rsidRPr="002B2821" w:rsidRDefault="00D20B89" w:rsidP="00D20B89">
            <w:pPr>
              <w:spacing w:after="0" w:line="240" w:lineRule="auto"/>
              <w:rPr>
                <w:lang w:eastAsia="en-GB"/>
              </w:rPr>
            </w:pPr>
          </w:p>
        </w:tc>
        <w:tc>
          <w:tcPr>
            <w:tcW w:w="1240" w:type="dxa"/>
            <w:tcBorders>
              <w:left w:val="single" w:sz="4" w:space="0" w:color="3C3C3C"/>
            </w:tcBorders>
            <w:shd w:val="clear" w:color="auto" w:fill="auto"/>
            <w:noWrap/>
            <w:vAlign w:val="bottom"/>
            <w:hideMark/>
          </w:tcPr>
          <w:p w14:paraId="7C64FE8A" w14:textId="77777777" w:rsidR="00D20B89" w:rsidRPr="002B2821" w:rsidRDefault="00D20B89" w:rsidP="00D20B89">
            <w:pPr>
              <w:spacing w:after="0" w:line="240" w:lineRule="auto"/>
              <w:rPr>
                <w:lang w:eastAsia="en-GB"/>
              </w:rPr>
            </w:pPr>
          </w:p>
        </w:tc>
        <w:tc>
          <w:tcPr>
            <w:tcW w:w="1120" w:type="dxa"/>
            <w:shd w:val="clear" w:color="auto" w:fill="auto"/>
            <w:noWrap/>
            <w:vAlign w:val="bottom"/>
            <w:hideMark/>
          </w:tcPr>
          <w:p w14:paraId="4985EB45"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319F88B7" w14:textId="77777777" w:rsidR="00D20B89" w:rsidRPr="002B2821" w:rsidRDefault="00D20B89" w:rsidP="00D20B89">
            <w:pPr>
              <w:spacing w:after="0" w:line="240" w:lineRule="auto"/>
              <w:rPr>
                <w:lang w:eastAsia="en-GB"/>
              </w:rPr>
            </w:pPr>
          </w:p>
        </w:tc>
      </w:tr>
      <w:tr w:rsidR="00D20B89" w:rsidRPr="002B2821" w14:paraId="41A1D8BD" w14:textId="77777777" w:rsidTr="000E7AE0">
        <w:trPr>
          <w:trHeight w:val="300"/>
        </w:trPr>
        <w:tc>
          <w:tcPr>
            <w:tcW w:w="3544" w:type="dxa"/>
            <w:gridSpan w:val="2"/>
            <w:tcBorders>
              <w:right w:val="single" w:sz="4" w:space="0" w:color="3C3C3C"/>
            </w:tcBorders>
            <w:shd w:val="clear" w:color="auto" w:fill="auto"/>
            <w:noWrap/>
            <w:vAlign w:val="bottom"/>
            <w:hideMark/>
          </w:tcPr>
          <w:p w14:paraId="250B1C87"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Debtors and Prepayments</w:t>
            </w:r>
          </w:p>
        </w:tc>
        <w:tc>
          <w:tcPr>
            <w:tcW w:w="1537" w:type="dxa"/>
            <w:tcBorders>
              <w:left w:val="single" w:sz="4" w:space="0" w:color="3C3C3C"/>
            </w:tcBorders>
            <w:shd w:val="clear" w:color="auto" w:fill="auto"/>
            <w:noWrap/>
            <w:vAlign w:val="bottom"/>
            <w:hideMark/>
          </w:tcPr>
          <w:p w14:paraId="365237AB"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0B2E5FAF"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34</w:t>
            </w:r>
          </w:p>
        </w:tc>
        <w:tc>
          <w:tcPr>
            <w:tcW w:w="1240" w:type="dxa"/>
            <w:tcBorders>
              <w:left w:val="single" w:sz="4" w:space="0" w:color="3C3C3C"/>
            </w:tcBorders>
            <w:shd w:val="clear" w:color="auto" w:fill="auto"/>
            <w:noWrap/>
            <w:vAlign w:val="bottom"/>
            <w:hideMark/>
          </w:tcPr>
          <w:p w14:paraId="0D1977C5"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25148713"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34</w:t>
            </w:r>
          </w:p>
        </w:tc>
        <w:tc>
          <w:tcPr>
            <w:tcW w:w="222" w:type="dxa"/>
            <w:shd w:val="clear" w:color="auto" w:fill="auto"/>
            <w:noWrap/>
            <w:vAlign w:val="bottom"/>
            <w:hideMark/>
          </w:tcPr>
          <w:p w14:paraId="1F8EBAD2"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6D0DE6D0" w14:textId="77777777" w:rsidTr="000E7AE0">
        <w:trPr>
          <w:trHeight w:val="300"/>
        </w:trPr>
        <w:tc>
          <w:tcPr>
            <w:tcW w:w="2148" w:type="dxa"/>
            <w:shd w:val="clear" w:color="auto" w:fill="auto"/>
            <w:noWrap/>
            <w:vAlign w:val="bottom"/>
            <w:hideMark/>
          </w:tcPr>
          <w:p w14:paraId="7904AB51"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Advance of Grants</w:t>
            </w:r>
          </w:p>
        </w:tc>
        <w:tc>
          <w:tcPr>
            <w:tcW w:w="1396" w:type="dxa"/>
            <w:tcBorders>
              <w:right w:val="single" w:sz="4" w:space="0" w:color="3C3C3C"/>
            </w:tcBorders>
            <w:shd w:val="clear" w:color="auto" w:fill="auto"/>
            <w:noWrap/>
            <w:vAlign w:val="bottom"/>
            <w:hideMark/>
          </w:tcPr>
          <w:p w14:paraId="432D2867"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3673D980"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156BD46D"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3,538</w:t>
            </w:r>
          </w:p>
        </w:tc>
        <w:tc>
          <w:tcPr>
            <w:tcW w:w="1240" w:type="dxa"/>
            <w:tcBorders>
              <w:left w:val="single" w:sz="4" w:space="0" w:color="3C3C3C"/>
            </w:tcBorders>
            <w:shd w:val="clear" w:color="auto" w:fill="auto"/>
            <w:noWrap/>
            <w:vAlign w:val="bottom"/>
            <w:hideMark/>
          </w:tcPr>
          <w:p w14:paraId="64C113AA"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5E1C5831"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3,538</w:t>
            </w:r>
          </w:p>
        </w:tc>
        <w:tc>
          <w:tcPr>
            <w:tcW w:w="222" w:type="dxa"/>
            <w:shd w:val="clear" w:color="auto" w:fill="auto"/>
            <w:noWrap/>
            <w:vAlign w:val="bottom"/>
            <w:hideMark/>
          </w:tcPr>
          <w:p w14:paraId="00703E2D"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5584C81A" w14:textId="77777777" w:rsidTr="000E7AE0">
        <w:trPr>
          <w:trHeight w:val="300"/>
        </w:trPr>
        <w:tc>
          <w:tcPr>
            <w:tcW w:w="3544" w:type="dxa"/>
            <w:gridSpan w:val="2"/>
            <w:tcBorders>
              <w:right w:val="single" w:sz="4" w:space="0" w:color="3C3C3C"/>
            </w:tcBorders>
            <w:shd w:val="clear" w:color="auto" w:fill="auto"/>
            <w:noWrap/>
            <w:vAlign w:val="bottom"/>
            <w:hideMark/>
          </w:tcPr>
          <w:p w14:paraId="495CA8AF"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Cash at Bank and in Hand</w:t>
            </w:r>
          </w:p>
        </w:tc>
        <w:tc>
          <w:tcPr>
            <w:tcW w:w="1537" w:type="dxa"/>
            <w:tcBorders>
              <w:left w:val="single" w:sz="4" w:space="0" w:color="3C3C3C"/>
            </w:tcBorders>
            <w:shd w:val="clear" w:color="auto" w:fill="auto"/>
            <w:noWrap/>
            <w:vAlign w:val="bottom"/>
            <w:hideMark/>
          </w:tcPr>
          <w:p w14:paraId="02C00EFB"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95</w:t>
            </w:r>
          </w:p>
        </w:tc>
        <w:tc>
          <w:tcPr>
            <w:tcW w:w="982" w:type="dxa"/>
            <w:tcBorders>
              <w:right w:val="single" w:sz="4" w:space="0" w:color="3C3C3C"/>
            </w:tcBorders>
            <w:shd w:val="clear" w:color="auto" w:fill="auto"/>
            <w:noWrap/>
            <w:vAlign w:val="bottom"/>
            <w:hideMark/>
          </w:tcPr>
          <w:p w14:paraId="1D0B58A6"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12,780</w:t>
            </w:r>
          </w:p>
        </w:tc>
        <w:tc>
          <w:tcPr>
            <w:tcW w:w="1240" w:type="dxa"/>
            <w:tcBorders>
              <w:left w:val="single" w:sz="4" w:space="0" w:color="3C3C3C"/>
            </w:tcBorders>
            <w:shd w:val="clear" w:color="auto" w:fill="auto"/>
            <w:noWrap/>
            <w:vAlign w:val="bottom"/>
            <w:hideMark/>
          </w:tcPr>
          <w:p w14:paraId="5754AB40"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2,231</w:t>
            </w:r>
          </w:p>
        </w:tc>
        <w:tc>
          <w:tcPr>
            <w:tcW w:w="1120" w:type="dxa"/>
            <w:shd w:val="clear" w:color="auto" w:fill="auto"/>
            <w:noWrap/>
            <w:vAlign w:val="bottom"/>
            <w:hideMark/>
          </w:tcPr>
          <w:p w14:paraId="663AAA03"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15,106</w:t>
            </w:r>
          </w:p>
        </w:tc>
        <w:tc>
          <w:tcPr>
            <w:tcW w:w="222" w:type="dxa"/>
            <w:shd w:val="clear" w:color="auto" w:fill="auto"/>
            <w:noWrap/>
            <w:vAlign w:val="bottom"/>
            <w:hideMark/>
          </w:tcPr>
          <w:p w14:paraId="73992747"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31A8748E" w14:textId="77777777" w:rsidTr="000E7AE0">
        <w:trPr>
          <w:trHeight w:val="300"/>
        </w:trPr>
        <w:tc>
          <w:tcPr>
            <w:tcW w:w="3544" w:type="dxa"/>
            <w:gridSpan w:val="2"/>
            <w:tcBorders>
              <w:right w:val="single" w:sz="4" w:space="0" w:color="3C3C3C"/>
            </w:tcBorders>
            <w:shd w:val="clear" w:color="auto" w:fill="auto"/>
            <w:noWrap/>
            <w:vAlign w:val="bottom"/>
            <w:hideMark/>
          </w:tcPr>
          <w:p w14:paraId="61FD6A48"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Creditors: amounts falling due</w:t>
            </w:r>
          </w:p>
        </w:tc>
        <w:tc>
          <w:tcPr>
            <w:tcW w:w="1537" w:type="dxa"/>
            <w:tcBorders>
              <w:left w:val="single" w:sz="4" w:space="0" w:color="3C3C3C"/>
            </w:tcBorders>
            <w:shd w:val="clear" w:color="auto" w:fill="auto"/>
            <w:noWrap/>
            <w:vAlign w:val="bottom"/>
            <w:hideMark/>
          </w:tcPr>
          <w:p w14:paraId="51E32804" w14:textId="77777777" w:rsidR="00D20B89" w:rsidRPr="002B2821" w:rsidRDefault="00D20B89" w:rsidP="00D20B89">
            <w:pPr>
              <w:spacing w:after="0" w:line="240" w:lineRule="auto"/>
              <w:rPr>
                <w:rFonts w:ascii="Calibri" w:hAnsi="Calibri" w:cs="Arial"/>
                <w:color w:val="000000"/>
                <w:sz w:val="22"/>
                <w:szCs w:val="22"/>
                <w:lang w:eastAsia="en-GB"/>
              </w:rPr>
            </w:pPr>
          </w:p>
        </w:tc>
        <w:tc>
          <w:tcPr>
            <w:tcW w:w="982" w:type="dxa"/>
            <w:tcBorders>
              <w:right w:val="single" w:sz="4" w:space="0" w:color="3C3C3C"/>
            </w:tcBorders>
            <w:shd w:val="clear" w:color="auto" w:fill="auto"/>
            <w:noWrap/>
            <w:vAlign w:val="bottom"/>
            <w:hideMark/>
          </w:tcPr>
          <w:p w14:paraId="128315D2" w14:textId="77777777" w:rsidR="00D20B89" w:rsidRPr="002B2821" w:rsidRDefault="00D20B89" w:rsidP="00D20B89">
            <w:pPr>
              <w:spacing w:after="0" w:line="240" w:lineRule="auto"/>
              <w:rPr>
                <w:lang w:eastAsia="en-GB"/>
              </w:rPr>
            </w:pPr>
          </w:p>
        </w:tc>
        <w:tc>
          <w:tcPr>
            <w:tcW w:w="1240" w:type="dxa"/>
            <w:tcBorders>
              <w:left w:val="single" w:sz="4" w:space="0" w:color="3C3C3C"/>
            </w:tcBorders>
            <w:shd w:val="clear" w:color="auto" w:fill="auto"/>
            <w:noWrap/>
            <w:vAlign w:val="bottom"/>
            <w:hideMark/>
          </w:tcPr>
          <w:p w14:paraId="49E8D023" w14:textId="77777777" w:rsidR="00D20B89" w:rsidRPr="002B2821" w:rsidRDefault="00D20B89" w:rsidP="00D20B89">
            <w:pPr>
              <w:spacing w:after="0" w:line="240" w:lineRule="auto"/>
              <w:rPr>
                <w:lang w:eastAsia="en-GB"/>
              </w:rPr>
            </w:pPr>
          </w:p>
        </w:tc>
        <w:tc>
          <w:tcPr>
            <w:tcW w:w="1120" w:type="dxa"/>
            <w:shd w:val="clear" w:color="auto" w:fill="auto"/>
            <w:noWrap/>
            <w:vAlign w:val="bottom"/>
            <w:hideMark/>
          </w:tcPr>
          <w:p w14:paraId="0385A70F"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3966A3D8" w14:textId="77777777" w:rsidR="00D20B89" w:rsidRPr="002B2821" w:rsidRDefault="00D20B89" w:rsidP="00D20B89">
            <w:pPr>
              <w:spacing w:after="0" w:line="240" w:lineRule="auto"/>
              <w:rPr>
                <w:lang w:eastAsia="en-GB"/>
              </w:rPr>
            </w:pPr>
          </w:p>
        </w:tc>
      </w:tr>
      <w:tr w:rsidR="00D20B89" w:rsidRPr="002B2821" w14:paraId="4102F1B2" w14:textId="77777777" w:rsidTr="000E7AE0">
        <w:trPr>
          <w:trHeight w:val="300"/>
        </w:trPr>
        <w:tc>
          <w:tcPr>
            <w:tcW w:w="2148" w:type="dxa"/>
            <w:shd w:val="clear" w:color="auto" w:fill="auto"/>
            <w:noWrap/>
            <w:vAlign w:val="bottom"/>
            <w:hideMark/>
          </w:tcPr>
          <w:p w14:paraId="268C3252"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within one year</w:t>
            </w:r>
          </w:p>
        </w:tc>
        <w:tc>
          <w:tcPr>
            <w:tcW w:w="1396" w:type="dxa"/>
            <w:tcBorders>
              <w:right w:val="single" w:sz="4" w:space="0" w:color="3C3C3C"/>
            </w:tcBorders>
            <w:shd w:val="clear" w:color="auto" w:fill="auto"/>
            <w:noWrap/>
            <w:vAlign w:val="bottom"/>
            <w:hideMark/>
          </w:tcPr>
          <w:p w14:paraId="6B73393F" w14:textId="77777777" w:rsidR="00D20B89" w:rsidRPr="002B2821" w:rsidRDefault="00D20B89" w:rsidP="00D20B89">
            <w:pPr>
              <w:spacing w:after="0" w:line="240" w:lineRule="auto"/>
              <w:rPr>
                <w:rFonts w:ascii="Calibri" w:hAnsi="Calibri" w:cs="Arial"/>
                <w:color w:val="000000"/>
                <w:sz w:val="22"/>
                <w:szCs w:val="22"/>
                <w:lang w:eastAsia="en-GB"/>
              </w:rPr>
            </w:pPr>
          </w:p>
        </w:tc>
        <w:tc>
          <w:tcPr>
            <w:tcW w:w="1537" w:type="dxa"/>
            <w:tcBorders>
              <w:left w:val="single" w:sz="4" w:space="0" w:color="3C3C3C"/>
            </w:tcBorders>
            <w:shd w:val="clear" w:color="auto" w:fill="auto"/>
            <w:noWrap/>
            <w:vAlign w:val="bottom"/>
            <w:hideMark/>
          </w:tcPr>
          <w:p w14:paraId="3E680E56" w14:textId="77777777" w:rsidR="00D20B89" w:rsidRPr="002B2821" w:rsidRDefault="00D20B89" w:rsidP="00D20B89">
            <w:pPr>
              <w:spacing w:after="0" w:line="240" w:lineRule="auto"/>
              <w:rPr>
                <w:lang w:eastAsia="en-GB"/>
              </w:rPr>
            </w:pPr>
          </w:p>
        </w:tc>
        <w:tc>
          <w:tcPr>
            <w:tcW w:w="982" w:type="dxa"/>
            <w:tcBorders>
              <w:right w:val="single" w:sz="4" w:space="0" w:color="3C3C3C"/>
            </w:tcBorders>
            <w:shd w:val="clear" w:color="auto" w:fill="auto"/>
            <w:noWrap/>
            <w:vAlign w:val="bottom"/>
            <w:hideMark/>
          </w:tcPr>
          <w:p w14:paraId="38FADB2D" w14:textId="77777777" w:rsidR="00D20B89" w:rsidRPr="002B2821" w:rsidRDefault="00D20B89" w:rsidP="00D20B89">
            <w:pPr>
              <w:spacing w:after="0" w:line="240" w:lineRule="auto"/>
              <w:rPr>
                <w:lang w:eastAsia="en-GB"/>
              </w:rPr>
            </w:pPr>
          </w:p>
        </w:tc>
        <w:tc>
          <w:tcPr>
            <w:tcW w:w="1240" w:type="dxa"/>
            <w:tcBorders>
              <w:left w:val="single" w:sz="4" w:space="0" w:color="3C3C3C"/>
            </w:tcBorders>
            <w:shd w:val="clear" w:color="auto" w:fill="auto"/>
            <w:noWrap/>
            <w:vAlign w:val="bottom"/>
            <w:hideMark/>
          </w:tcPr>
          <w:p w14:paraId="0AB71056" w14:textId="77777777" w:rsidR="00D20B89" w:rsidRPr="002B2821" w:rsidRDefault="00D20B89" w:rsidP="00D20B89">
            <w:pPr>
              <w:spacing w:after="0" w:line="240" w:lineRule="auto"/>
              <w:rPr>
                <w:lang w:eastAsia="en-GB"/>
              </w:rPr>
            </w:pPr>
          </w:p>
        </w:tc>
        <w:tc>
          <w:tcPr>
            <w:tcW w:w="1120" w:type="dxa"/>
            <w:shd w:val="clear" w:color="auto" w:fill="auto"/>
            <w:noWrap/>
            <w:vAlign w:val="bottom"/>
            <w:hideMark/>
          </w:tcPr>
          <w:p w14:paraId="2BFA758E"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427C98E9" w14:textId="77777777" w:rsidR="00D20B89" w:rsidRPr="002B2821" w:rsidRDefault="00D20B89" w:rsidP="00D20B89">
            <w:pPr>
              <w:spacing w:after="0" w:line="240" w:lineRule="auto"/>
              <w:rPr>
                <w:lang w:eastAsia="en-GB"/>
              </w:rPr>
            </w:pPr>
          </w:p>
        </w:tc>
      </w:tr>
      <w:tr w:rsidR="00D20B89" w:rsidRPr="002B2821" w14:paraId="6A8E4C8A" w14:textId="77777777" w:rsidTr="000E7AE0">
        <w:trPr>
          <w:trHeight w:val="300"/>
        </w:trPr>
        <w:tc>
          <w:tcPr>
            <w:tcW w:w="3544" w:type="dxa"/>
            <w:gridSpan w:val="2"/>
            <w:tcBorders>
              <w:right w:val="single" w:sz="4" w:space="0" w:color="3C3C3C"/>
            </w:tcBorders>
            <w:shd w:val="clear" w:color="auto" w:fill="auto"/>
            <w:noWrap/>
            <w:vAlign w:val="bottom"/>
            <w:hideMark/>
          </w:tcPr>
          <w:p w14:paraId="28FF0558"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Beneficiary nominee accounts</w:t>
            </w:r>
          </w:p>
        </w:tc>
        <w:tc>
          <w:tcPr>
            <w:tcW w:w="1537" w:type="dxa"/>
            <w:tcBorders>
              <w:left w:val="single" w:sz="4" w:space="0" w:color="3C3C3C"/>
            </w:tcBorders>
            <w:shd w:val="clear" w:color="auto" w:fill="auto"/>
            <w:noWrap/>
            <w:vAlign w:val="bottom"/>
            <w:hideMark/>
          </w:tcPr>
          <w:p w14:paraId="5A7CC5FA"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7FC3ECD2"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(14,709)</w:t>
            </w:r>
          </w:p>
        </w:tc>
        <w:tc>
          <w:tcPr>
            <w:tcW w:w="1240" w:type="dxa"/>
            <w:tcBorders>
              <w:left w:val="single" w:sz="4" w:space="0" w:color="3C3C3C"/>
            </w:tcBorders>
            <w:shd w:val="clear" w:color="auto" w:fill="auto"/>
            <w:noWrap/>
            <w:vAlign w:val="bottom"/>
            <w:hideMark/>
          </w:tcPr>
          <w:p w14:paraId="1A612ECD"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(2,816)</w:t>
            </w:r>
          </w:p>
        </w:tc>
        <w:tc>
          <w:tcPr>
            <w:tcW w:w="1120" w:type="dxa"/>
            <w:shd w:val="clear" w:color="auto" w:fill="auto"/>
            <w:noWrap/>
            <w:vAlign w:val="bottom"/>
            <w:hideMark/>
          </w:tcPr>
          <w:p w14:paraId="1D4D215A"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(17,525)</w:t>
            </w:r>
          </w:p>
        </w:tc>
        <w:tc>
          <w:tcPr>
            <w:tcW w:w="222" w:type="dxa"/>
            <w:shd w:val="clear" w:color="auto" w:fill="auto"/>
            <w:noWrap/>
            <w:vAlign w:val="bottom"/>
            <w:hideMark/>
          </w:tcPr>
          <w:p w14:paraId="330539FC"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3763A3E5" w14:textId="77777777" w:rsidTr="000E7AE0">
        <w:trPr>
          <w:trHeight w:val="300"/>
        </w:trPr>
        <w:tc>
          <w:tcPr>
            <w:tcW w:w="3544" w:type="dxa"/>
            <w:gridSpan w:val="2"/>
            <w:tcBorders>
              <w:right w:val="single" w:sz="4" w:space="0" w:color="3C3C3C"/>
            </w:tcBorders>
            <w:shd w:val="clear" w:color="auto" w:fill="auto"/>
            <w:noWrap/>
            <w:vAlign w:val="bottom"/>
            <w:hideMark/>
          </w:tcPr>
          <w:p w14:paraId="701B3BB9" w14:textId="77777777"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Creditors and accrued expenses</w:t>
            </w:r>
          </w:p>
        </w:tc>
        <w:tc>
          <w:tcPr>
            <w:tcW w:w="1537" w:type="dxa"/>
            <w:tcBorders>
              <w:left w:val="single" w:sz="4" w:space="0" w:color="3C3C3C"/>
            </w:tcBorders>
            <w:shd w:val="clear" w:color="auto" w:fill="auto"/>
            <w:noWrap/>
            <w:vAlign w:val="bottom"/>
            <w:hideMark/>
          </w:tcPr>
          <w:p w14:paraId="5FCF1022"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982" w:type="dxa"/>
            <w:tcBorders>
              <w:right w:val="single" w:sz="4" w:space="0" w:color="3C3C3C"/>
            </w:tcBorders>
            <w:shd w:val="clear" w:color="auto" w:fill="auto"/>
            <w:noWrap/>
            <w:vAlign w:val="bottom"/>
            <w:hideMark/>
          </w:tcPr>
          <w:p w14:paraId="25AABFCB"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(386)</w:t>
            </w:r>
          </w:p>
        </w:tc>
        <w:tc>
          <w:tcPr>
            <w:tcW w:w="1240" w:type="dxa"/>
            <w:tcBorders>
              <w:left w:val="single" w:sz="4" w:space="0" w:color="3C3C3C"/>
            </w:tcBorders>
            <w:shd w:val="clear" w:color="auto" w:fill="auto"/>
            <w:noWrap/>
            <w:vAlign w:val="bottom"/>
            <w:hideMark/>
          </w:tcPr>
          <w:p w14:paraId="228CA79D" w14:textId="47074A09"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w:t>
            </w:r>
          </w:p>
        </w:tc>
        <w:tc>
          <w:tcPr>
            <w:tcW w:w="1120" w:type="dxa"/>
            <w:shd w:val="clear" w:color="auto" w:fill="auto"/>
            <w:noWrap/>
            <w:vAlign w:val="bottom"/>
            <w:hideMark/>
          </w:tcPr>
          <w:p w14:paraId="0906F5D9"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(386)</w:t>
            </w:r>
          </w:p>
        </w:tc>
        <w:tc>
          <w:tcPr>
            <w:tcW w:w="222" w:type="dxa"/>
            <w:shd w:val="clear" w:color="auto" w:fill="auto"/>
            <w:noWrap/>
            <w:vAlign w:val="bottom"/>
            <w:hideMark/>
          </w:tcPr>
          <w:p w14:paraId="6B124811"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75D56FC1" w14:textId="77777777" w:rsidTr="000E7AE0">
        <w:trPr>
          <w:trHeight w:val="300"/>
        </w:trPr>
        <w:tc>
          <w:tcPr>
            <w:tcW w:w="2148" w:type="dxa"/>
            <w:shd w:val="clear" w:color="auto" w:fill="auto"/>
            <w:noWrap/>
            <w:vAlign w:val="bottom"/>
            <w:hideMark/>
          </w:tcPr>
          <w:p w14:paraId="564B2D3F" w14:textId="77777777" w:rsidR="00D20B89" w:rsidRPr="002B2821" w:rsidRDefault="00D20B89" w:rsidP="00D20B89">
            <w:pPr>
              <w:spacing w:after="0" w:line="240" w:lineRule="auto"/>
              <w:rPr>
                <w:lang w:eastAsia="en-GB"/>
              </w:rPr>
            </w:pPr>
          </w:p>
        </w:tc>
        <w:tc>
          <w:tcPr>
            <w:tcW w:w="1396" w:type="dxa"/>
            <w:tcBorders>
              <w:right w:val="single" w:sz="4" w:space="0" w:color="3C3C3C"/>
            </w:tcBorders>
            <w:shd w:val="clear" w:color="auto" w:fill="auto"/>
            <w:noWrap/>
            <w:vAlign w:val="bottom"/>
            <w:hideMark/>
          </w:tcPr>
          <w:p w14:paraId="1D13A8C0" w14:textId="77777777" w:rsidR="00D20B89" w:rsidRPr="002B2821" w:rsidRDefault="00D20B89" w:rsidP="00D20B89">
            <w:pPr>
              <w:spacing w:after="0" w:line="240" w:lineRule="auto"/>
              <w:rPr>
                <w:lang w:eastAsia="en-GB"/>
              </w:rPr>
            </w:pPr>
          </w:p>
        </w:tc>
        <w:tc>
          <w:tcPr>
            <w:tcW w:w="1537" w:type="dxa"/>
            <w:tcBorders>
              <w:left w:val="single" w:sz="4" w:space="0" w:color="3C3C3C"/>
              <w:bottom w:val="single" w:sz="4" w:space="0" w:color="3C3C3C"/>
            </w:tcBorders>
            <w:shd w:val="clear" w:color="auto" w:fill="auto"/>
            <w:noWrap/>
            <w:vAlign w:val="bottom"/>
            <w:hideMark/>
          </w:tcPr>
          <w:p w14:paraId="163D7F95" w14:textId="77777777" w:rsidR="00D20B89" w:rsidRPr="002B2821" w:rsidRDefault="00D20B89" w:rsidP="00D20B89">
            <w:pPr>
              <w:spacing w:after="0" w:line="240" w:lineRule="auto"/>
              <w:rPr>
                <w:lang w:eastAsia="en-GB"/>
              </w:rPr>
            </w:pPr>
          </w:p>
        </w:tc>
        <w:tc>
          <w:tcPr>
            <w:tcW w:w="982" w:type="dxa"/>
            <w:tcBorders>
              <w:bottom w:val="single" w:sz="4" w:space="0" w:color="3C3C3C"/>
              <w:right w:val="single" w:sz="4" w:space="0" w:color="3C3C3C"/>
            </w:tcBorders>
            <w:shd w:val="clear" w:color="auto" w:fill="auto"/>
            <w:noWrap/>
            <w:vAlign w:val="bottom"/>
            <w:hideMark/>
          </w:tcPr>
          <w:p w14:paraId="50542296" w14:textId="77777777" w:rsidR="00D20B89" w:rsidRPr="002B2821" w:rsidRDefault="00D20B89" w:rsidP="00D20B89">
            <w:pPr>
              <w:spacing w:after="0" w:line="240" w:lineRule="auto"/>
              <w:rPr>
                <w:lang w:eastAsia="en-GB"/>
              </w:rPr>
            </w:pPr>
          </w:p>
        </w:tc>
        <w:tc>
          <w:tcPr>
            <w:tcW w:w="1240" w:type="dxa"/>
            <w:tcBorders>
              <w:left w:val="single" w:sz="4" w:space="0" w:color="3C3C3C"/>
              <w:bottom w:val="single" w:sz="4" w:space="0" w:color="3C3C3C"/>
            </w:tcBorders>
            <w:shd w:val="clear" w:color="auto" w:fill="auto"/>
            <w:noWrap/>
            <w:vAlign w:val="bottom"/>
            <w:hideMark/>
          </w:tcPr>
          <w:p w14:paraId="46BFBBD1" w14:textId="77777777" w:rsidR="00D20B89" w:rsidRPr="002B2821" w:rsidRDefault="00D20B89" w:rsidP="00D20B89">
            <w:pPr>
              <w:spacing w:after="0" w:line="240" w:lineRule="auto"/>
              <w:rPr>
                <w:lang w:eastAsia="en-GB"/>
              </w:rPr>
            </w:pPr>
          </w:p>
        </w:tc>
        <w:tc>
          <w:tcPr>
            <w:tcW w:w="1120" w:type="dxa"/>
            <w:tcBorders>
              <w:bottom w:val="single" w:sz="4" w:space="0" w:color="3C3C3C"/>
            </w:tcBorders>
            <w:shd w:val="clear" w:color="auto" w:fill="auto"/>
            <w:noWrap/>
            <w:vAlign w:val="bottom"/>
            <w:hideMark/>
          </w:tcPr>
          <w:p w14:paraId="44952D46"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29F6A2EF" w14:textId="77777777" w:rsidR="00D20B89" w:rsidRPr="002B2821" w:rsidRDefault="00D20B89" w:rsidP="00D20B89">
            <w:pPr>
              <w:spacing w:after="0" w:line="240" w:lineRule="auto"/>
              <w:rPr>
                <w:lang w:eastAsia="en-GB"/>
              </w:rPr>
            </w:pPr>
          </w:p>
        </w:tc>
      </w:tr>
      <w:tr w:rsidR="00D20B89" w:rsidRPr="002B2821" w14:paraId="71B552B6" w14:textId="77777777" w:rsidTr="000E7AE0">
        <w:trPr>
          <w:trHeight w:val="300"/>
        </w:trPr>
        <w:tc>
          <w:tcPr>
            <w:tcW w:w="3544" w:type="dxa"/>
            <w:gridSpan w:val="2"/>
            <w:tcBorders>
              <w:right w:val="single" w:sz="4" w:space="0" w:color="3C3C3C"/>
            </w:tcBorders>
            <w:shd w:val="clear" w:color="auto" w:fill="auto"/>
            <w:noWrap/>
            <w:vAlign w:val="bottom"/>
            <w:hideMark/>
          </w:tcPr>
          <w:p w14:paraId="182D4384" w14:textId="6D031DDF" w:rsidR="00D20B89" w:rsidRPr="002B2821" w:rsidRDefault="00D20B89" w:rsidP="00D20B89">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Balance as at 30 September 2017</w:t>
            </w:r>
          </w:p>
        </w:tc>
        <w:tc>
          <w:tcPr>
            <w:tcW w:w="1537" w:type="dxa"/>
            <w:tcBorders>
              <w:top w:val="single" w:sz="4" w:space="0" w:color="3C3C3C"/>
              <w:left w:val="single" w:sz="4" w:space="0" w:color="3C3C3C"/>
              <w:bottom w:val="single" w:sz="4" w:space="0" w:color="3C3C3C"/>
            </w:tcBorders>
            <w:shd w:val="clear" w:color="auto" w:fill="auto"/>
            <w:noWrap/>
            <w:vAlign w:val="bottom"/>
            <w:hideMark/>
          </w:tcPr>
          <w:p w14:paraId="1B83D0EF"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8,865</w:t>
            </w:r>
          </w:p>
        </w:tc>
        <w:tc>
          <w:tcPr>
            <w:tcW w:w="982" w:type="dxa"/>
            <w:tcBorders>
              <w:top w:val="single" w:sz="4" w:space="0" w:color="3C3C3C"/>
              <w:bottom w:val="single" w:sz="4" w:space="0" w:color="3C3C3C"/>
              <w:right w:val="single" w:sz="4" w:space="0" w:color="3C3C3C"/>
            </w:tcBorders>
            <w:shd w:val="clear" w:color="auto" w:fill="auto"/>
            <w:noWrap/>
            <w:vAlign w:val="bottom"/>
            <w:hideMark/>
          </w:tcPr>
          <w:p w14:paraId="2AF31A39"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150,621</w:t>
            </w:r>
          </w:p>
        </w:tc>
        <w:tc>
          <w:tcPr>
            <w:tcW w:w="1240" w:type="dxa"/>
            <w:tcBorders>
              <w:top w:val="single" w:sz="4" w:space="0" w:color="3C3C3C"/>
              <w:left w:val="single" w:sz="4" w:space="0" w:color="3C3C3C"/>
              <w:bottom w:val="single" w:sz="4" w:space="0" w:color="3C3C3C"/>
            </w:tcBorders>
            <w:shd w:val="clear" w:color="auto" w:fill="auto"/>
            <w:noWrap/>
            <w:vAlign w:val="bottom"/>
            <w:hideMark/>
          </w:tcPr>
          <w:p w14:paraId="4B41B56D"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(585)</w:t>
            </w:r>
          </w:p>
        </w:tc>
        <w:tc>
          <w:tcPr>
            <w:tcW w:w="1120" w:type="dxa"/>
            <w:tcBorders>
              <w:top w:val="single" w:sz="4" w:space="0" w:color="3C3C3C"/>
              <w:bottom w:val="single" w:sz="4" w:space="0" w:color="3C3C3C"/>
              <w:right w:val="single" w:sz="4" w:space="0" w:color="3C3C3C"/>
            </w:tcBorders>
            <w:shd w:val="clear" w:color="auto" w:fill="auto"/>
            <w:noWrap/>
            <w:vAlign w:val="bottom"/>
            <w:hideMark/>
          </w:tcPr>
          <w:p w14:paraId="32DA03B2" w14:textId="77777777" w:rsidR="00D20B89" w:rsidRPr="002B2821" w:rsidRDefault="00D20B89" w:rsidP="00D20B89">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158,901</w:t>
            </w:r>
          </w:p>
        </w:tc>
        <w:tc>
          <w:tcPr>
            <w:tcW w:w="222" w:type="dxa"/>
            <w:tcBorders>
              <w:left w:val="single" w:sz="4" w:space="0" w:color="3C3C3C"/>
            </w:tcBorders>
            <w:shd w:val="clear" w:color="auto" w:fill="auto"/>
            <w:noWrap/>
            <w:vAlign w:val="bottom"/>
            <w:hideMark/>
          </w:tcPr>
          <w:p w14:paraId="70CC891F" w14:textId="77777777" w:rsidR="00D20B89" w:rsidRPr="002B2821" w:rsidRDefault="00D20B89" w:rsidP="00D20B89">
            <w:pPr>
              <w:spacing w:after="0" w:line="240" w:lineRule="auto"/>
              <w:jc w:val="right"/>
              <w:rPr>
                <w:rFonts w:ascii="Calibri" w:hAnsi="Calibri" w:cs="Arial"/>
                <w:color w:val="000000"/>
                <w:sz w:val="22"/>
                <w:szCs w:val="22"/>
                <w:lang w:eastAsia="en-GB"/>
              </w:rPr>
            </w:pPr>
          </w:p>
        </w:tc>
      </w:tr>
      <w:tr w:rsidR="00D20B89" w:rsidRPr="002B2821" w14:paraId="5581AD81" w14:textId="77777777" w:rsidTr="000E7AE0">
        <w:trPr>
          <w:trHeight w:val="300"/>
        </w:trPr>
        <w:tc>
          <w:tcPr>
            <w:tcW w:w="2148" w:type="dxa"/>
            <w:shd w:val="clear" w:color="auto" w:fill="auto"/>
            <w:noWrap/>
            <w:vAlign w:val="bottom"/>
            <w:hideMark/>
          </w:tcPr>
          <w:p w14:paraId="5432F20C" w14:textId="77777777" w:rsidR="00D20B89" w:rsidRPr="002B2821" w:rsidRDefault="00D20B89" w:rsidP="00D20B89">
            <w:pPr>
              <w:spacing w:after="0" w:line="240" w:lineRule="auto"/>
              <w:rPr>
                <w:lang w:eastAsia="en-GB"/>
              </w:rPr>
            </w:pPr>
          </w:p>
        </w:tc>
        <w:tc>
          <w:tcPr>
            <w:tcW w:w="1396" w:type="dxa"/>
            <w:shd w:val="clear" w:color="auto" w:fill="auto"/>
            <w:noWrap/>
            <w:vAlign w:val="bottom"/>
            <w:hideMark/>
          </w:tcPr>
          <w:p w14:paraId="417C9FC9" w14:textId="77777777" w:rsidR="00D20B89" w:rsidRPr="002B2821" w:rsidRDefault="00D20B89" w:rsidP="00D20B89">
            <w:pPr>
              <w:spacing w:after="0" w:line="240" w:lineRule="auto"/>
              <w:rPr>
                <w:lang w:eastAsia="en-GB"/>
              </w:rPr>
            </w:pPr>
          </w:p>
        </w:tc>
        <w:tc>
          <w:tcPr>
            <w:tcW w:w="1537" w:type="dxa"/>
            <w:tcBorders>
              <w:top w:val="single" w:sz="4" w:space="0" w:color="3C3C3C"/>
            </w:tcBorders>
            <w:shd w:val="clear" w:color="auto" w:fill="auto"/>
            <w:noWrap/>
            <w:vAlign w:val="bottom"/>
            <w:hideMark/>
          </w:tcPr>
          <w:p w14:paraId="650AAB4C" w14:textId="4CE7A789" w:rsidR="00D20B89" w:rsidRPr="002B2821" w:rsidRDefault="00393353" w:rsidP="00D20B89">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n</w:t>
            </w:r>
            <w:r w:rsidR="00D20B89" w:rsidRPr="002B2821">
              <w:rPr>
                <w:rFonts w:ascii="Calibri" w:hAnsi="Calibri" w:cs="Arial"/>
                <w:color w:val="000000"/>
                <w:sz w:val="22"/>
                <w:szCs w:val="22"/>
                <w:lang w:eastAsia="en-GB"/>
              </w:rPr>
              <w:t>ote 11</w:t>
            </w:r>
          </w:p>
        </w:tc>
        <w:tc>
          <w:tcPr>
            <w:tcW w:w="982" w:type="dxa"/>
            <w:tcBorders>
              <w:top w:val="single" w:sz="4" w:space="0" w:color="3C3C3C"/>
            </w:tcBorders>
            <w:shd w:val="clear" w:color="auto" w:fill="auto"/>
            <w:noWrap/>
            <w:vAlign w:val="bottom"/>
            <w:hideMark/>
          </w:tcPr>
          <w:p w14:paraId="655A752C" w14:textId="77777777" w:rsidR="00D20B89" w:rsidRPr="002B2821" w:rsidRDefault="00D20B89" w:rsidP="00D20B89">
            <w:pPr>
              <w:spacing w:after="0" w:line="240" w:lineRule="auto"/>
              <w:jc w:val="right"/>
              <w:rPr>
                <w:rFonts w:ascii="Calibri" w:hAnsi="Calibri" w:cs="Arial"/>
                <w:color w:val="000000"/>
                <w:sz w:val="22"/>
                <w:szCs w:val="22"/>
                <w:lang w:eastAsia="en-GB"/>
              </w:rPr>
            </w:pPr>
          </w:p>
        </w:tc>
        <w:tc>
          <w:tcPr>
            <w:tcW w:w="1240" w:type="dxa"/>
            <w:tcBorders>
              <w:top w:val="single" w:sz="4" w:space="0" w:color="3C3C3C"/>
            </w:tcBorders>
            <w:shd w:val="clear" w:color="auto" w:fill="auto"/>
            <w:noWrap/>
            <w:vAlign w:val="bottom"/>
            <w:hideMark/>
          </w:tcPr>
          <w:p w14:paraId="5A4E0EC5" w14:textId="77777777" w:rsidR="00D20B89" w:rsidRPr="002B2821" w:rsidRDefault="00D20B89" w:rsidP="00D20B89">
            <w:pPr>
              <w:spacing w:after="0" w:line="240" w:lineRule="auto"/>
              <w:rPr>
                <w:lang w:eastAsia="en-GB"/>
              </w:rPr>
            </w:pPr>
          </w:p>
        </w:tc>
        <w:tc>
          <w:tcPr>
            <w:tcW w:w="1120" w:type="dxa"/>
            <w:tcBorders>
              <w:top w:val="single" w:sz="4" w:space="0" w:color="3C3C3C"/>
            </w:tcBorders>
            <w:shd w:val="clear" w:color="auto" w:fill="auto"/>
            <w:noWrap/>
            <w:vAlign w:val="bottom"/>
            <w:hideMark/>
          </w:tcPr>
          <w:p w14:paraId="7F998A15" w14:textId="77777777" w:rsidR="00D20B89" w:rsidRPr="002B2821" w:rsidRDefault="00D20B89" w:rsidP="00D20B89">
            <w:pPr>
              <w:spacing w:after="0" w:line="240" w:lineRule="auto"/>
              <w:rPr>
                <w:lang w:eastAsia="en-GB"/>
              </w:rPr>
            </w:pPr>
          </w:p>
        </w:tc>
        <w:tc>
          <w:tcPr>
            <w:tcW w:w="222" w:type="dxa"/>
            <w:shd w:val="clear" w:color="auto" w:fill="auto"/>
            <w:noWrap/>
            <w:vAlign w:val="bottom"/>
            <w:hideMark/>
          </w:tcPr>
          <w:p w14:paraId="405344C2" w14:textId="77777777" w:rsidR="00D20B89" w:rsidRPr="002B2821" w:rsidRDefault="00D20B89" w:rsidP="00D20B89">
            <w:pPr>
              <w:spacing w:after="0" w:line="240" w:lineRule="auto"/>
              <w:rPr>
                <w:lang w:eastAsia="en-GB"/>
              </w:rPr>
            </w:pPr>
          </w:p>
        </w:tc>
      </w:tr>
    </w:tbl>
    <w:p w14:paraId="5A48508E" w14:textId="77777777" w:rsidR="004E3103" w:rsidRPr="002B2821" w:rsidRDefault="004E3103">
      <w:pPr>
        <w:pStyle w:val="BodyText"/>
        <w:spacing w:after="0" w:line="240" w:lineRule="auto"/>
        <w:rPr>
          <w:rFonts w:asciiTheme="minorHAnsi" w:hAnsiTheme="minorHAnsi" w:cs="Arial"/>
          <w:b/>
          <w:color w:val="442359"/>
          <w:sz w:val="24"/>
          <w:szCs w:val="24"/>
        </w:rPr>
      </w:pPr>
    </w:p>
    <w:p w14:paraId="7DB01C4C" w14:textId="77777777" w:rsidR="00701A08" w:rsidRPr="002B2821" w:rsidRDefault="00701A08" w:rsidP="004E3103">
      <w:pPr>
        <w:pStyle w:val="BodyText"/>
        <w:spacing w:after="0" w:line="240" w:lineRule="auto"/>
        <w:rPr>
          <w:rFonts w:asciiTheme="minorHAnsi" w:hAnsiTheme="minorHAnsi" w:cs="Arial"/>
          <w:b/>
          <w:color w:val="442359"/>
          <w:sz w:val="24"/>
          <w:szCs w:val="24"/>
        </w:rPr>
      </w:pPr>
    </w:p>
    <w:p w14:paraId="683A986D" w14:textId="77777777" w:rsidR="00701A08" w:rsidRPr="002B2821" w:rsidRDefault="00701A08" w:rsidP="004E3103">
      <w:pPr>
        <w:pStyle w:val="BodyText"/>
        <w:spacing w:after="0" w:line="240" w:lineRule="auto"/>
        <w:rPr>
          <w:rFonts w:asciiTheme="minorHAnsi" w:hAnsiTheme="minorHAnsi" w:cs="Arial"/>
          <w:b/>
          <w:color w:val="442359"/>
          <w:sz w:val="24"/>
          <w:szCs w:val="24"/>
        </w:rPr>
      </w:pPr>
    </w:p>
    <w:p w14:paraId="0C8E2BAF" w14:textId="77777777" w:rsidR="00E72D30" w:rsidRDefault="00E72D30" w:rsidP="004E3103">
      <w:pPr>
        <w:pStyle w:val="BodyText"/>
        <w:spacing w:after="0" w:line="240" w:lineRule="auto"/>
        <w:rPr>
          <w:rFonts w:asciiTheme="minorHAnsi" w:hAnsiTheme="minorHAnsi" w:cs="Arial"/>
          <w:b/>
          <w:color w:val="442359"/>
          <w:sz w:val="24"/>
          <w:szCs w:val="24"/>
        </w:rPr>
      </w:pPr>
      <w:r>
        <w:rPr>
          <w:rFonts w:asciiTheme="minorHAnsi" w:hAnsiTheme="minorHAnsi" w:cs="Arial"/>
          <w:b/>
          <w:color w:val="442359"/>
          <w:sz w:val="24"/>
          <w:szCs w:val="24"/>
        </w:rPr>
        <w:br w:type="page"/>
      </w:r>
    </w:p>
    <w:p w14:paraId="2134FAD4" w14:textId="46A6EAE5" w:rsidR="004E3103" w:rsidRPr="002B2821" w:rsidRDefault="004E3103" w:rsidP="004E3103">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2018 (continued)</w:t>
      </w:r>
    </w:p>
    <w:p w14:paraId="00031476" w14:textId="77777777" w:rsidR="004E3103" w:rsidRPr="002B2821" w:rsidRDefault="004E3103">
      <w:pPr>
        <w:pStyle w:val="BodyText"/>
        <w:spacing w:after="0" w:line="240" w:lineRule="auto"/>
        <w:rPr>
          <w:rFonts w:asciiTheme="minorHAnsi" w:hAnsiTheme="minorHAnsi" w:cs="Arial"/>
          <w:b/>
          <w:color w:val="442359"/>
          <w:sz w:val="24"/>
          <w:szCs w:val="24"/>
        </w:rPr>
      </w:pPr>
    </w:p>
    <w:p w14:paraId="21F88C88" w14:textId="77777777" w:rsidR="00586EBB" w:rsidRPr="002B2821" w:rsidRDefault="00586EBB" w:rsidP="00D94BB1">
      <w:pPr>
        <w:pStyle w:val="BodyText"/>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11    Beneficiary accounts</w:t>
      </w:r>
    </w:p>
    <w:tbl>
      <w:tblPr>
        <w:tblW w:w="9344" w:type="dxa"/>
        <w:tblLook w:val="04A0" w:firstRow="1" w:lastRow="0" w:firstColumn="1" w:lastColumn="0" w:noHBand="0" w:noVBand="1"/>
      </w:tblPr>
      <w:tblGrid>
        <w:gridCol w:w="2410"/>
        <w:gridCol w:w="562"/>
        <w:gridCol w:w="1523"/>
        <w:gridCol w:w="1459"/>
        <w:gridCol w:w="1240"/>
        <w:gridCol w:w="968"/>
        <w:gridCol w:w="1182"/>
      </w:tblGrid>
      <w:tr w:rsidR="005808D4" w:rsidRPr="002B2821" w14:paraId="5F40B738" w14:textId="77777777" w:rsidTr="000E7AE0">
        <w:trPr>
          <w:trHeight w:val="255"/>
        </w:trPr>
        <w:tc>
          <w:tcPr>
            <w:tcW w:w="2410" w:type="dxa"/>
            <w:shd w:val="clear" w:color="auto" w:fill="auto"/>
            <w:noWrap/>
            <w:vAlign w:val="bottom"/>
            <w:hideMark/>
          </w:tcPr>
          <w:p w14:paraId="7B633612"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281E5158" w14:textId="77777777" w:rsidR="005808D4" w:rsidRPr="002B2821" w:rsidRDefault="005808D4" w:rsidP="004E3103">
            <w:pPr>
              <w:spacing w:after="0" w:line="240" w:lineRule="auto"/>
              <w:rPr>
                <w:lang w:eastAsia="en-GB"/>
              </w:rPr>
            </w:pPr>
          </w:p>
        </w:tc>
        <w:tc>
          <w:tcPr>
            <w:tcW w:w="1523" w:type="dxa"/>
            <w:tcBorders>
              <w:top w:val="single" w:sz="4" w:space="0" w:color="3C3C3C"/>
              <w:left w:val="single" w:sz="4" w:space="0" w:color="3C3C3C"/>
              <w:right w:val="single" w:sz="4" w:space="0" w:color="3C3C3C"/>
            </w:tcBorders>
            <w:shd w:val="clear" w:color="auto" w:fill="auto"/>
            <w:noWrap/>
            <w:vAlign w:val="bottom"/>
            <w:hideMark/>
          </w:tcPr>
          <w:p w14:paraId="2E2359BD" w14:textId="75ECF96C"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1459" w:type="dxa"/>
            <w:tcBorders>
              <w:left w:val="single" w:sz="4" w:space="0" w:color="3C3C3C"/>
            </w:tcBorders>
            <w:shd w:val="clear" w:color="auto" w:fill="auto"/>
            <w:noWrap/>
            <w:vAlign w:val="bottom"/>
            <w:hideMark/>
          </w:tcPr>
          <w:p w14:paraId="1D36670D"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1240" w:type="dxa"/>
            <w:shd w:val="clear" w:color="auto" w:fill="auto"/>
            <w:noWrap/>
            <w:vAlign w:val="bottom"/>
            <w:hideMark/>
          </w:tcPr>
          <w:p w14:paraId="4B1C2AD3"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Beneficiary</w:t>
            </w:r>
          </w:p>
        </w:tc>
        <w:tc>
          <w:tcPr>
            <w:tcW w:w="968" w:type="dxa"/>
            <w:shd w:val="clear" w:color="auto" w:fill="auto"/>
            <w:noWrap/>
            <w:vAlign w:val="bottom"/>
            <w:hideMark/>
          </w:tcPr>
          <w:p w14:paraId="12A3B6F9"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Total</w:t>
            </w:r>
          </w:p>
        </w:tc>
        <w:tc>
          <w:tcPr>
            <w:tcW w:w="1182" w:type="dxa"/>
            <w:shd w:val="clear" w:color="auto" w:fill="auto"/>
            <w:noWrap/>
            <w:vAlign w:val="bottom"/>
            <w:hideMark/>
          </w:tcPr>
          <w:p w14:paraId="34258EF2" w14:textId="77777777" w:rsidR="005808D4" w:rsidRPr="002B2821" w:rsidRDefault="005808D4" w:rsidP="004E3103">
            <w:pPr>
              <w:spacing w:after="0" w:line="240" w:lineRule="auto"/>
              <w:jc w:val="right"/>
              <w:rPr>
                <w:rFonts w:ascii="Calibri" w:hAnsi="Calibri" w:cs="Arial"/>
                <w:color w:val="333399"/>
                <w:sz w:val="22"/>
                <w:szCs w:val="22"/>
                <w:lang w:eastAsia="en-GB"/>
              </w:rPr>
            </w:pPr>
            <w:r w:rsidRPr="002B2821">
              <w:rPr>
                <w:rFonts w:ascii="Calibri" w:hAnsi="Calibri" w:cs="Arial"/>
                <w:color w:val="333399"/>
                <w:sz w:val="22"/>
                <w:szCs w:val="22"/>
                <w:lang w:eastAsia="en-GB"/>
              </w:rPr>
              <w:t>Total</w:t>
            </w:r>
          </w:p>
        </w:tc>
      </w:tr>
      <w:tr w:rsidR="005808D4" w:rsidRPr="002B2821" w14:paraId="48A766C0" w14:textId="77777777" w:rsidTr="000E7AE0">
        <w:trPr>
          <w:trHeight w:val="255"/>
        </w:trPr>
        <w:tc>
          <w:tcPr>
            <w:tcW w:w="2410" w:type="dxa"/>
            <w:shd w:val="clear" w:color="auto" w:fill="auto"/>
            <w:noWrap/>
            <w:vAlign w:val="bottom"/>
            <w:hideMark/>
          </w:tcPr>
          <w:p w14:paraId="50C1DB0D"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37FD574B"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0D0A9C5C" w14:textId="664E6438" w:rsidR="005808D4" w:rsidRPr="002B2821" w:rsidRDefault="0065093C" w:rsidP="005808D4">
            <w:pPr>
              <w:spacing w:after="0" w:line="240" w:lineRule="auto"/>
              <w:jc w:val="right"/>
              <w:rPr>
                <w:rFonts w:ascii="Calibri" w:hAnsi="Calibri" w:cs="Arial"/>
                <w:b/>
                <w:bCs/>
                <w:color w:val="333399"/>
                <w:sz w:val="22"/>
                <w:szCs w:val="22"/>
                <w:lang w:eastAsia="en-GB"/>
              </w:rPr>
            </w:pPr>
            <w:r>
              <w:rPr>
                <w:rFonts w:ascii="Calibri" w:hAnsi="Calibri" w:cs="Arial"/>
                <w:b/>
                <w:bCs/>
                <w:color w:val="333399"/>
                <w:sz w:val="22"/>
                <w:szCs w:val="22"/>
                <w:lang w:eastAsia="en-GB"/>
              </w:rPr>
              <w:t>m</w:t>
            </w:r>
            <w:r w:rsidRPr="0065093C">
              <w:rPr>
                <w:rFonts w:ascii="Calibri" w:hAnsi="Calibri" w:cs="Arial"/>
                <w:b/>
                <w:bCs/>
                <w:color w:val="333399"/>
                <w:sz w:val="22"/>
                <w:szCs w:val="22"/>
                <w:lang w:eastAsia="en-GB"/>
              </w:rPr>
              <w:t>emorandum</w:t>
            </w:r>
            <w:r w:rsidR="005808D4" w:rsidRPr="002B2821">
              <w:rPr>
                <w:rFonts w:ascii="Calibri" w:hAnsi="Calibri" w:cs="Arial"/>
                <w:b/>
                <w:bCs/>
                <w:color w:val="333399"/>
                <w:sz w:val="22"/>
                <w:szCs w:val="22"/>
                <w:lang w:eastAsia="en-GB"/>
              </w:rPr>
              <w:t xml:space="preserve"> </w:t>
            </w:r>
          </w:p>
        </w:tc>
        <w:tc>
          <w:tcPr>
            <w:tcW w:w="1459" w:type="dxa"/>
            <w:tcBorders>
              <w:left w:val="single" w:sz="4" w:space="0" w:color="3C3C3C"/>
            </w:tcBorders>
            <w:shd w:val="clear" w:color="auto" w:fill="auto"/>
            <w:noWrap/>
            <w:vAlign w:val="bottom"/>
            <w:hideMark/>
          </w:tcPr>
          <w:p w14:paraId="6B1D2D2B"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nominee</w:t>
            </w:r>
          </w:p>
        </w:tc>
        <w:tc>
          <w:tcPr>
            <w:tcW w:w="1240" w:type="dxa"/>
            <w:shd w:val="clear" w:color="auto" w:fill="auto"/>
            <w:noWrap/>
            <w:vAlign w:val="bottom"/>
            <w:hideMark/>
          </w:tcPr>
          <w:p w14:paraId="595AA9DB"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Health Grant</w:t>
            </w:r>
          </w:p>
        </w:tc>
        <w:tc>
          <w:tcPr>
            <w:tcW w:w="968" w:type="dxa"/>
            <w:shd w:val="clear" w:color="auto" w:fill="auto"/>
            <w:noWrap/>
            <w:vAlign w:val="bottom"/>
            <w:hideMark/>
          </w:tcPr>
          <w:p w14:paraId="06330B4E"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2018</w:t>
            </w:r>
          </w:p>
        </w:tc>
        <w:tc>
          <w:tcPr>
            <w:tcW w:w="1182" w:type="dxa"/>
            <w:shd w:val="clear" w:color="auto" w:fill="auto"/>
            <w:noWrap/>
            <w:vAlign w:val="bottom"/>
            <w:hideMark/>
          </w:tcPr>
          <w:p w14:paraId="566D9A65" w14:textId="77777777" w:rsidR="005808D4" w:rsidRPr="002B2821" w:rsidRDefault="005808D4" w:rsidP="004E3103">
            <w:pPr>
              <w:spacing w:after="0" w:line="240" w:lineRule="auto"/>
              <w:jc w:val="right"/>
              <w:rPr>
                <w:rFonts w:ascii="Calibri" w:hAnsi="Calibri" w:cs="Arial"/>
                <w:color w:val="333399"/>
                <w:sz w:val="22"/>
                <w:szCs w:val="22"/>
                <w:lang w:eastAsia="en-GB"/>
              </w:rPr>
            </w:pPr>
            <w:r w:rsidRPr="002B2821">
              <w:rPr>
                <w:rFonts w:ascii="Calibri" w:hAnsi="Calibri" w:cs="Arial"/>
                <w:color w:val="333399"/>
                <w:sz w:val="22"/>
                <w:szCs w:val="22"/>
                <w:lang w:eastAsia="en-GB"/>
              </w:rPr>
              <w:t>2017</w:t>
            </w:r>
          </w:p>
        </w:tc>
      </w:tr>
      <w:tr w:rsidR="005808D4" w:rsidRPr="002B2821" w14:paraId="02751CB9" w14:textId="77777777" w:rsidTr="000E7AE0">
        <w:trPr>
          <w:trHeight w:val="255"/>
        </w:trPr>
        <w:tc>
          <w:tcPr>
            <w:tcW w:w="2410" w:type="dxa"/>
            <w:shd w:val="clear" w:color="auto" w:fill="auto"/>
            <w:noWrap/>
            <w:vAlign w:val="bottom"/>
            <w:hideMark/>
          </w:tcPr>
          <w:p w14:paraId="591DAFB0"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62E9C7E8"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3DA6E85F"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1459" w:type="dxa"/>
            <w:tcBorders>
              <w:left w:val="single" w:sz="4" w:space="0" w:color="3C3C3C"/>
            </w:tcBorders>
            <w:shd w:val="clear" w:color="auto" w:fill="auto"/>
            <w:noWrap/>
            <w:vAlign w:val="bottom"/>
            <w:hideMark/>
          </w:tcPr>
          <w:p w14:paraId="472D5D3A"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1240" w:type="dxa"/>
            <w:shd w:val="clear" w:color="auto" w:fill="auto"/>
            <w:noWrap/>
            <w:vAlign w:val="bottom"/>
            <w:hideMark/>
          </w:tcPr>
          <w:p w14:paraId="325E564F" w14:textId="77777777" w:rsidR="005808D4" w:rsidRPr="002B2821" w:rsidRDefault="005808D4" w:rsidP="005808D4">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accounts</w:t>
            </w:r>
          </w:p>
        </w:tc>
        <w:tc>
          <w:tcPr>
            <w:tcW w:w="968" w:type="dxa"/>
            <w:shd w:val="clear" w:color="auto" w:fill="auto"/>
            <w:noWrap/>
            <w:vAlign w:val="bottom"/>
            <w:hideMark/>
          </w:tcPr>
          <w:p w14:paraId="6821DF2D" w14:textId="77777777" w:rsidR="005808D4" w:rsidRPr="002B2821" w:rsidRDefault="005808D4" w:rsidP="005808D4">
            <w:pPr>
              <w:spacing w:after="0" w:line="240" w:lineRule="auto"/>
              <w:jc w:val="right"/>
              <w:rPr>
                <w:rFonts w:ascii="Calibri" w:hAnsi="Calibri" w:cs="Arial"/>
                <w:b/>
                <w:bCs/>
                <w:color w:val="333399"/>
                <w:sz w:val="22"/>
                <w:szCs w:val="22"/>
                <w:lang w:eastAsia="en-GB"/>
              </w:rPr>
            </w:pPr>
          </w:p>
        </w:tc>
        <w:tc>
          <w:tcPr>
            <w:tcW w:w="1182" w:type="dxa"/>
            <w:shd w:val="clear" w:color="auto" w:fill="auto"/>
            <w:noWrap/>
            <w:vAlign w:val="bottom"/>
            <w:hideMark/>
          </w:tcPr>
          <w:p w14:paraId="0227EDA5" w14:textId="77777777" w:rsidR="005808D4" w:rsidRPr="002B2821" w:rsidRDefault="005808D4" w:rsidP="004E3103">
            <w:pPr>
              <w:spacing w:after="0" w:line="240" w:lineRule="auto"/>
              <w:jc w:val="right"/>
              <w:rPr>
                <w:lang w:eastAsia="en-GB"/>
              </w:rPr>
            </w:pPr>
          </w:p>
        </w:tc>
      </w:tr>
      <w:tr w:rsidR="005808D4" w:rsidRPr="002B2821" w14:paraId="1FD2D36E" w14:textId="77777777" w:rsidTr="000E7AE0">
        <w:trPr>
          <w:trHeight w:val="255"/>
        </w:trPr>
        <w:tc>
          <w:tcPr>
            <w:tcW w:w="2410" w:type="dxa"/>
            <w:shd w:val="clear" w:color="auto" w:fill="auto"/>
            <w:noWrap/>
            <w:vAlign w:val="bottom"/>
            <w:hideMark/>
          </w:tcPr>
          <w:p w14:paraId="61DBA5F1"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427A0C5C"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5F38EEED" w14:textId="77777777" w:rsidR="005808D4" w:rsidRPr="002B2821" w:rsidRDefault="005808D4"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459" w:type="dxa"/>
            <w:tcBorders>
              <w:left w:val="single" w:sz="4" w:space="0" w:color="3C3C3C"/>
            </w:tcBorders>
            <w:shd w:val="clear" w:color="auto" w:fill="auto"/>
            <w:noWrap/>
            <w:vAlign w:val="bottom"/>
            <w:hideMark/>
          </w:tcPr>
          <w:p w14:paraId="2632DB35" w14:textId="77777777" w:rsidR="005808D4" w:rsidRPr="002B2821" w:rsidRDefault="005808D4"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240" w:type="dxa"/>
            <w:shd w:val="clear" w:color="auto" w:fill="auto"/>
            <w:noWrap/>
            <w:vAlign w:val="bottom"/>
            <w:hideMark/>
          </w:tcPr>
          <w:p w14:paraId="08104352" w14:textId="77777777" w:rsidR="005808D4" w:rsidRPr="002B2821" w:rsidRDefault="005808D4"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968" w:type="dxa"/>
            <w:shd w:val="clear" w:color="auto" w:fill="auto"/>
            <w:noWrap/>
            <w:vAlign w:val="bottom"/>
            <w:hideMark/>
          </w:tcPr>
          <w:p w14:paraId="72F343B4" w14:textId="77777777" w:rsidR="005808D4" w:rsidRPr="002B2821" w:rsidRDefault="005808D4" w:rsidP="004E3103">
            <w:pPr>
              <w:spacing w:after="0" w:line="240" w:lineRule="auto"/>
              <w:jc w:val="right"/>
              <w:rPr>
                <w:rFonts w:ascii="Calibri" w:hAnsi="Calibri" w:cs="Arial"/>
                <w:b/>
                <w:bCs/>
                <w:color w:val="333399"/>
                <w:sz w:val="22"/>
                <w:szCs w:val="22"/>
                <w:lang w:eastAsia="en-GB"/>
              </w:rPr>
            </w:pPr>
            <w:r w:rsidRPr="002B2821">
              <w:rPr>
                <w:rFonts w:ascii="Calibri" w:hAnsi="Calibri" w:cs="Arial"/>
                <w:b/>
                <w:bCs/>
                <w:color w:val="333399"/>
                <w:sz w:val="22"/>
                <w:szCs w:val="22"/>
                <w:lang w:eastAsia="en-GB"/>
              </w:rPr>
              <w:t>£000s</w:t>
            </w:r>
          </w:p>
        </w:tc>
        <w:tc>
          <w:tcPr>
            <w:tcW w:w="1182" w:type="dxa"/>
            <w:shd w:val="clear" w:color="auto" w:fill="auto"/>
            <w:noWrap/>
            <w:vAlign w:val="bottom"/>
            <w:hideMark/>
          </w:tcPr>
          <w:p w14:paraId="3C0A8081" w14:textId="77777777" w:rsidR="005808D4" w:rsidRPr="002B2821" w:rsidRDefault="005808D4" w:rsidP="004E3103">
            <w:pPr>
              <w:spacing w:after="0" w:line="240" w:lineRule="auto"/>
              <w:jc w:val="right"/>
              <w:rPr>
                <w:rFonts w:ascii="Calibri" w:hAnsi="Calibri" w:cs="Arial"/>
                <w:color w:val="333399"/>
                <w:sz w:val="22"/>
                <w:szCs w:val="22"/>
                <w:lang w:eastAsia="en-GB"/>
              </w:rPr>
            </w:pPr>
            <w:r w:rsidRPr="002B2821">
              <w:rPr>
                <w:rFonts w:ascii="Calibri" w:hAnsi="Calibri" w:cs="Arial"/>
                <w:color w:val="333399"/>
                <w:sz w:val="22"/>
                <w:szCs w:val="22"/>
                <w:lang w:eastAsia="en-GB"/>
              </w:rPr>
              <w:t>£000s</w:t>
            </w:r>
          </w:p>
        </w:tc>
      </w:tr>
      <w:tr w:rsidR="005808D4" w:rsidRPr="002B2821" w14:paraId="35B0EE29" w14:textId="77777777" w:rsidTr="000E7AE0">
        <w:trPr>
          <w:trHeight w:val="255"/>
        </w:trPr>
        <w:tc>
          <w:tcPr>
            <w:tcW w:w="2972" w:type="dxa"/>
            <w:gridSpan w:val="2"/>
            <w:tcBorders>
              <w:right w:val="single" w:sz="4" w:space="0" w:color="3C3C3C"/>
            </w:tcBorders>
            <w:shd w:val="clear" w:color="auto" w:fill="auto"/>
            <w:noWrap/>
            <w:vAlign w:val="bottom"/>
            <w:hideMark/>
          </w:tcPr>
          <w:p w14:paraId="5A64C852" w14:textId="61BA9D40"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As at 1 October 2017</w:t>
            </w:r>
            <w:r>
              <w:rPr>
                <w:rFonts w:ascii="Calibri" w:hAnsi="Calibri" w:cs="Arial"/>
                <w:color w:val="000000"/>
                <w:sz w:val="22"/>
                <w:szCs w:val="22"/>
                <w:lang w:eastAsia="en-GB"/>
              </w:rPr>
              <w:t>:</w:t>
            </w:r>
          </w:p>
        </w:tc>
        <w:tc>
          <w:tcPr>
            <w:tcW w:w="1523" w:type="dxa"/>
            <w:tcBorders>
              <w:left w:val="single" w:sz="4" w:space="0" w:color="3C3C3C"/>
              <w:right w:val="single" w:sz="4" w:space="0" w:color="3C3C3C"/>
            </w:tcBorders>
            <w:shd w:val="clear" w:color="auto" w:fill="auto"/>
            <w:noWrap/>
            <w:vAlign w:val="bottom"/>
            <w:hideMark/>
          </w:tcPr>
          <w:p w14:paraId="6765E567"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4B1E84AC"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6CD495AB"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327EC37F"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69FB9CDE" w14:textId="77777777" w:rsidR="005808D4" w:rsidRPr="002B2821" w:rsidRDefault="005808D4" w:rsidP="004E3103">
            <w:pPr>
              <w:spacing w:after="0" w:line="240" w:lineRule="auto"/>
              <w:rPr>
                <w:lang w:eastAsia="en-GB"/>
              </w:rPr>
            </w:pPr>
          </w:p>
        </w:tc>
      </w:tr>
      <w:tr w:rsidR="005808D4" w:rsidRPr="002B2821" w14:paraId="36283BD8" w14:textId="77777777" w:rsidTr="000E7AE0">
        <w:trPr>
          <w:trHeight w:val="255"/>
        </w:trPr>
        <w:tc>
          <w:tcPr>
            <w:tcW w:w="2972" w:type="dxa"/>
            <w:gridSpan w:val="2"/>
            <w:tcBorders>
              <w:right w:val="single" w:sz="4" w:space="0" w:color="3C3C3C"/>
            </w:tcBorders>
            <w:shd w:val="clear" w:color="auto" w:fill="auto"/>
            <w:noWrap/>
            <w:vAlign w:val="bottom"/>
            <w:hideMark/>
          </w:tcPr>
          <w:p w14:paraId="5FAD7721" w14:textId="77777777" w:rsidR="005808D4" w:rsidRPr="002B2821" w:rsidRDefault="005808D4" w:rsidP="005808D4">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Balance Sheet creditors</w:t>
            </w:r>
          </w:p>
        </w:tc>
        <w:tc>
          <w:tcPr>
            <w:tcW w:w="1523" w:type="dxa"/>
            <w:tcBorders>
              <w:left w:val="single" w:sz="4" w:space="0" w:color="3C3C3C"/>
              <w:right w:val="single" w:sz="4" w:space="0" w:color="3C3C3C"/>
            </w:tcBorders>
            <w:shd w:val="clear" w:color="auto" w:fill="auto"/>
            <w:noWrap/>
            <w:vAlign w:val="bottom"/>
            <w:hideMark/>
          </w:tcPr>
          <w:p w14:paraId="1CC01DD5"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459" w:type="dxa"/>
            <w:tcBorders>
              <w:left w:val="single" w:sz="4" w:space="0" w:color="3C3C3C"/>
            </w:tcBorders>
            <w:shd w:val="clear" w:color="auto" w:fill="auto"/>
            <w:noWrap/>
            <w:vAlign w:val="bottom"/>
            <w:hideMark/>
          </w:tcPr>
          <w:p w14:paraId="11453CFD"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14,709</w:t>
            </w:r>
          </w:p>
        </w:tc>
        <w:tc>
          <w:tcPr>
            <w:tcW w:w="1240" w:type="dxa"/>
            <w:shd w:val="clear" w:color="auto" w:fill="auto"/>
            <w:noWrap/>
            <w:vAlign w:val="bottom"/>
            <w:hideMark/>
          </w:tcPr>
          <w:p w14:paraId="284169C3"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2,816</w:t>
            </w:r>
          </w:p>
        </w:tc>
        <w:tc>
          <w:tcPr>
            <w:tcW w:w="968" w:type="dxa"/>
            <w:shd w:val="clear" w:color="auto" w:fill="auto"/>
            <w:noWrap/>
            <w:vAlign w:val="bottom"/>
            <w:hideMark/>
          </w:tcPr>
          <w:p w14:paraId="70832BFD"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17,525</w:t>
            </w:r>
          </w:p>
        </w:tc>
        <w:tc>
          <w:tcPr>
            <w:tcW w:w="1182" w:type="dxa"/>
            <w:shd w:val="clear" w:color="auto" w:fill="auto"/>
            <w:noWrap/>
            <w:vAlign w:val="bottom"/>
            <w:hideMark/>
          </w:tcPr>
          <w:p w14:paraId="4AE033B2"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11,925</w:t>
            </w:r>
          </w:p>
        </w:tc>
      </w:tr>
      <w:tr w:rsidR="005808D4" w:rsidRPr="002B2821" w14:paraId="1BA8B5B8" w14:textId="77777777" w:rsidTr="000E7AE0">
        <w:trPr>
          <w:trHeight w:val="255"/>
        </w:trPr>
        <w:tc>
          <w:tcPr>
            <w:tcW w:w="2972" w:type="dxa"/>
            <w:gridSpan w:val="2"/>
            <w:tcBorders>
              <w:right w:val="single" w:sz="4" w:space="0" w:color="3C3C3C"/>
            </w:tcBorders>
            <w:shd w:val="clear" w:color="auto" w:fill="auto"/>
            <w:noWrap/>
            <w:vAlign w:val="bottom"/>
            <w:hideMark/>
          </w:tcPr>
          <w:p w14:paraId="6B2FBF15" w14:textId="5246D650" w:rsidR="005808D4" w:rsidRPr="002B2821" w:rsidRDefault="005808D4" w:rsidP="005808D4">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Trust fund balance</w:t>
            </w:r>
          </w:p>
        </w:tc>
        <w:tc>
          <w:tcPr>
            <w:tcW w:w="1523" w:type="dxa"/>
            <w:tcBorders>
              <w:left w:val="single" w:sz="4" w:space="0" w:color="3C3C3C"/>
              <w:right w:val="single" w:sz="4" w:space="0" w:color="3C3C3C"/>
            </w:tcBorders>
            <w:shd w:val="clear" w:color="auto" w:fill="auto"/>
            <w:noWrap/>
            <w:vAlign w:val="bottom"/>
            <w:hideMark/>
          </w:tcPr>
          <w:p w14:paraId="21C26DDC"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8,865</w:t>
            </w:r>
          </w:p>
        </w:tc>
        <w:tc>
          <w:tcPr>
            <w:tcW w:w="1459" w:type="dxa"/>
            <w:tcBorders>
              <w:left w:val="single" w:sz="4" w:space="0" w:color="3C3C3C"/>
            </w:tcBorders>
            <w:shd w:val="clear" w:color="auto" w:fill="auto"/>
            <w:noWrap/>
            <w:vAlign w:val="bottom"/>
            <w:hideMark/>
          </w:tcPr>
          <w:p w14:paraId="3AFD53AF" w14:textId="77777777" w:rsidR="005808D4" w:rsidRPr="002B2821" w:rsidRDefault="005808D4" w:rsidP="004E3103">
            <w:pPr>
              <w:spacing w:after="0" w:line="240" w:lineRule="auto"/>
              <w:jc w:val="right"/>
              <w:rPr>
                <w:rFonts w:ascii="Calibri" w:hAnsi="Calibri" w:cs="Arial"/>
                <w:color w:val="000000"/>
                <w:sz w:val="22"/>
                <w:szCs w:val="22"/>
                <w:lang w:eastAsia="en-GB"/>
              </w:rPr>
            </w:pPr>
          </w:p>
        </w:tc>
        <w:tc>
          <w:tcPr>
            <w:tcW w:w="1240" w:type="dxa"/>
            <w:shd w:val="clear" w:color="auto" w:fill="auto"/>
            <w:noWrap/>
            <w:vAlign w:val="bottom"/>
            <w:hideMark/>
          </w:tcPr>
          <w:p w14:paraId="23803459"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0864F0A9"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4789CF3F" w14:textId="77777777" w:rsidR="005808D4" w:rsidRPr="002B2821" w:rsidRDefault="005808D4" w:rsidP="004E3103">
            <w:pPr>
              <w:spacing w:after="0" w:line="240" w:lineRule="auto"/>
              <w:rPr>
                <w:lang w:eastAsia="en-GB"/>
              </w:rPr>
            </w:pPr>
          </w:p>
        </w:tc>
      </w:tr>
      <w:tr w:rsidR="005808D4" w:rsidRPr="002B2821" w14:paraId="37052257" w14:textId="77777777" w:rsidTr="000E7AE0">
        <w:trPr>
          <w:trHeight w:val="132"/>
        </w:trPr>
        <w:tc>
          <w:tcPr>
            <w:tcW w:w="2410" w:type="dxa"/>
            <w:shd w:val="clear" w:color="auto" w:fill="auto"/>
            <w:noWrap/>
            <w:vAlign w:val="bottom"/>
            <w:hideMark/>
          </w:tcPr>
          <w:p w14:paraId="32501016"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4485F754"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626E3B76"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39EC17ED"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315EB4D1"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194B87FA"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45ED1D23" w14:textId="77777777" w:rsidR="005808D4" w:rsidRPr="002B2821" w:rsidRDefault="005808D4" w:rsidP="004E3103">
            <w:pPr>
              <w:spacing w:after="0" w:line="240" w:lineRule="auto"/>
              <w:rPr>
                <w:lang w:eastAsia="en-GB"/>
              </w:rPr>
            </w:pPr>
          </w:p>
        </w:tc>
      </w:tr>
      <w:tr w:rsidR="005808D4" w:rsidRPr="002B2821" w14:paraId="7C6E92DB" w14:textId="77777777" w:rsidTr="000E7AE0">
        <w:trPr>
          <w:trHeight w:val="300"/>
        </w:trPr>
        <w:tc>
          <w:tcPr>
            <w:tcW w:w="2410" w:type="dxa"/>
            <w:shd w:val="clear" w:color="auto" w:fill="auto"/>
            <w:noWrap/>
            <w:vAlign w:val="bottom"/>
            <w:hideMark/>
          </w:tcPr>
          <w:p w14:paraId="5B03477C" w14:textId="77777777"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Annual Grant</w:t>
            </w:r>
          </w:p>
        </w:tc>
        <w:tc>
          <w:tcPr>
            <w:tcW w:w="562" w:type="dxa"/>
            <w:tcBorders>
              <w:right w:val="single" w:sz="4" w:space="0" w:color="3C3C3C"/>
            </w:tcBorders>
            <w:shd w:val="clear" w:color="auto" w:fill="auto"/>
            <w:noWrap/>
            <w:vAlign w:val="bottom"/>
            <w:hideMark/>
          </w:tcPr>
          <w:p w14:paraId="27DA3EC2"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523" w:type="dxa"/>
            <w:tcBorders>
              <w:left w:val="single" w:sz="4" w:space="0" w:color="3C3C3C"/>
              <w:right w:val="single" w:sz="4" w:space="0" w:color="3C3C3C"/>
            </w:tcBorders>
            <w:shd w:val="clear" w:color="auto" w:fill="auto"/>
            <w:noWrap/>
            <w:vAlign w:val="bottom"/>
            <w:hideMark/>
          </w:tcPr>
          <w:p w14:paraId="7AA662BA"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851</w:t>
            </w:r>
          </w:p>
        </w:tc>
        <w:tc>
          <w:tcPr>
            <w:tcW w:w="1459" w:type="dxa"/>
            <w:tcBorders>
              <w:left w:val="single" w:sz="4" w:space="0" w:color="3C3C3C"/>
            </w:tcBorders>
            <w:shd w:val="clear" w:color="auto" w:fill="auto"/>
            <w:noWrap/>
            <w:vAlign w:val="bottom"/>
            <w:hideMark/>
          </w:tcPr>
          <w:p w14:paraId="5C2679FF"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17,901</w:t>
            </w:r>
          </w:p>
        </w:tc>
        <w:tc>
          <w:tcPr>
            <w:tcW w:w="1240" w:type="dxa"/>
            <w:shd w:val="clear" w:color="auto" w:fill="auto"/>
            <w:noWrap/>
            <w:vAlign w:val="bottom"/>
            <w:hideMark/>
          </w:tcPr>
          <w:p w14:paraId="4B23125D" w14:textId="77777777" w:rsidR="005808D4" w:rsidRPr="002B2821" w:rsidRDefault="005808D4" w:rsidP="004E3103">
            <w:pPr>
              <w:spacing w:after="0" w:line="240" w:lineRule="auto"/>
              <w:jc w:val="right"/>
              <w:rPr>
                <w:rFonts w:ascii="Calibri" w:hAnsi="Calibri" w:cs="Arial"/>
                <w:color w:val="000000"/>
                <w:sz w:val="22"/>
                <w:szCs w:val="22"/>
                <w:lang w:eastAsia="en-GB"/>
              </w:rPr>
            </w:pPr>
          </w:p>
        </w:tc>
        <w:tc>
          <w:tcPr>
            <w:tcW w:w="968" w:type="dxa"/>
            <w:shd w:val="clear" w:color="auto" w:fill="auto"/>
            <w:noWrap/>
            <w:vAlign w:val="bottom"/>
            <w:hideMark/>
          </w:tcPr>
          <w:p w14:paraId="1B8454C0"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18,752</w:t>
            </w:r>
          </w:p>
        </w:tc>
        <w:tc>
          <w:tcPr>
            <w:tcW w:w="1182" w:type="dxa"/>
            <w:shd w:val="clear" w:color="auto" w:fill="auto"/>
            <w:noWrap/>
            <w:vAlign w:val="bottom"/>
            <w:hideMark/>
          </w:tcPr>
          <w:p w14:paraId="1CF789DC"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18,680</w:t>
            </w:r>
          </w:p>
        </w:tc>
      </w:tr>
      <w:tr w:rsidR="005808D4" w:rsidRPr="002B2821" w14:paraId="353A62F4" w14:textId="77777777" w:rsidTr="000E7AE0">
        <w:trPr>
          <w:trHeight w:val="72"/>
        </w:trPr>
        <w:tc>
          <w:tcPr>
            <w:tcW w:w="2410" w:type="dxa"/>
            <w:shd w:val="clear" w:color="auto" w:fill="auto"/>
            <w:noWrap/>
            <w:vAlign w:val="bottom"/>
            <w:hideMark/>
          </w:tcPr>
          <w:p w14:paraId="3904CBBA"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08087544"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47876B3F"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312A3CE9" w14:textId="77777777" w:rsidR="005808D4" w:rsidRPr="002B2821" w:rsidRDefault="005808D4" w:rsidP="004E3103">
            <w:pPr>
              <w:spacing w:after="0" w:line="240" w:lineRule="auto"/>
              <w:jc w:val="right"/>
              <w:rPr>
                <w:lang w:eastAsia="en-GB"/>
              </w:rPr>
            </w:pPr>
          </w:p>
        </w:tc>
        <w:tc>
          <w:tcPr>
            <w:tcW w:w="1240" w:type="dxa"/>
            <w:shd w:val="clear" w:color="auto" w:fill="auto"/>
            <w:noWrap/>
            <w:vAlign w:val="bottom"/>
            <w:hideMark/>
          </w:tcPr>
          <w:p w14:paraId="3C6F7523" w14:textId="77777777" w:rsidR="005808D4" w:rsidRPr="002B2821" w:rsidRDefault="005808D4" w:rsidP="004E3103">
            <w:pPr>
              <w:spacing w:after="0" w:line="240" w:lineRule="auto"/>
              <w:jc w:val="right"/>
              <w:rPr>
                <w:lang w:eastAsia="en-GB"/>
              </w:rPr>
            </w:pPr>
          </w:p>
        </w:tc>
        <w:tc>
          <w:tcPr>
            <w:tcW w:w="968" w:type="dxa"/>
            <w:shd w:val="clear" w:color="auto" w:fill="auto"/>
            <w:noWrap/>
            <w:vAlign w:val="bottom"/>
            <w:hideMark/>
          </w:tcPr>
          <w:p w14:paraId="1AED85ED"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5FA19403" w14:textId="77777777" w:rsidR="005808D4" w:rsidRPr="002B2821" w:rsidRDefault="005808D4" w:rsidP="004E3103">
            <w:pPr>
              <w:spacing w:after="0" w:line="240" w:lineRule="auto"/>
              <w:rPr>
                <w:lang w:eastAsia="en-GB"/>
              </w:rPr>
            </w:pPr>
          </w:p>
        </w:tc>
      </w:tr>
      <w:tr w:rsidR="005808D4" w:rsidRPr="002B2821" w14:paraId="42F4E93B" w14:textId="77777777" w:rsidTr="000E7AE0">
        <w:trPr>
          <w:trHeight w:val="300"/>
        </w:trPr>
        <w:tc>
          <w:tcPr>
            <w:tcW w:w="2410" w:type="dxa"/>
            <w:shd w:val="clear" w:color="auto" w:fill="auto"/>
            <w:noWrap/>
            <w:vAlign w:val="bottom"/>
            <w:hideMark/>
          </w:tcPr>
          <w:p w14:paraId="1BF2EBFB" w14:textId="77777777"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CHP (see note below)</w:t>
            </w:r>
          </w:p>
        </w:tc>
        <w:tc>
          <w:tcPr>
            <w:tcW w:w="562" w:type="dxa"/>
            <w:tcBorders>
              <w:right w:val="single" w:sz="4" w:space="0" w:color="3C3C3C"/>
            </w:tcBorders>
            <w:shd w:val="clear" w:color="auto" w:fill="auto"/>
            <w:noWrap/>
            <w:vAlign w:val="bottom"/>
            <w:hideMark/>
          </w:tcPr>
          <w:p w14:paraId="5153BEA5"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523" w:type="dxa"/>
            <w:tcBorders>
              <w:left w:val="single" w:sz="4" w:space="0" w:color="3C3C3C"/>
              <w:right w:val="single" w:sz="4" w:space="0" w:color="3C3C3C"/>
            </w:tcBorders>
            <w:shd w:val="clear" w:color="auto" w:fill="auto"/>
            <w:noWrap/>
            <w:vAlign w:val="bottom"/>
            <w:hideMark/>
          </w:tcPr>
          <w:p w14:paraId="14C59E34"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7C52F7B2" w14:textId="77777777" w:rsidR="005808D4" w:rsidRPr="002B2821" w:rsidRDefault="005808D4" w:rsidP="004E3103">
            <w:pPr>
              <w:spacing w:after="0" w:line="240" w:lineRule="auto"/>
              <w:jc w:val="right"/>
              <w:rPr>
                <w:lang w:eastAsia="en-GB"/>
              </w:rPr>
            </w:pPr>
          </w:p>
        </w:tc>
        <w:tc>
          <w:tcPr>
            <w:tcW w:w="1240" w:type="dxa"/>
            <w:shd w:val="clear" w:color="auto" w:fill="auto"/>
            <w:noWrap/>
            <w:vAlign w:val="bottom"/>
            <w:hideMark/>
          </w:tcPr>
          <w:p w14:paraId="15F55A75" w14:textId="77777777" w:rsidR="005808D4" w:rsidRPr="002B2821" w:rsidRDefault="005808D4" w:rsidP="004E3103">
            <w:pPr>
              <w:spacing w:after="0" w:line="240" w:lineRule="auto"/>
              <w:jc w:val="right"/>
              <w:rPr>
                <w:lang w:eastAsia="en-GB"/>
              </w:rPr>
            </w:pPr>
          </w:p>
        </w:tc>
        <w:tc>
          <w:tcPr>
            <w:tcW w:w="968" w:type="dxa"/>
            <w:shd w:val="clear" w:color="auto" w:fill="auto"/>
            <w:noWrap/>
            <w:vAlign w:val="bottom"/>
            <w:hideMark/>
          </w:tcPr>
          <w:p w14:paraId="009BF879" w14:textId="4DD3585A" w:rsidR="005808D4" w:rsidRPr="002B2821" w:rsidRDefault="005808D4" w:rsidP="00701A08">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w:t>
            </w:r>
          </w:p>
        </w:tc>
        <w:tc>
          <w:tcPr>
            <w:tcW w:w="1182" w:type="dxa"/>
            <w:shd w:val="clear" w:color="auto" w:fill="auto"/>
            <w:noWrap/>
            <w:vAlign w:val="bottom"/>
            <w:hideMark/>
          </w:tcPr>
          <w:p w14:paraId="32BB9EA5"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26,779</w:t>
            </w:r>
          </w:p>
        </w:tc>
      </w:tr>
      <w:tr w:rsidR="005808D4" w:rsidRPr="002B2821" w14:paraId="601B1A34" w14:textId="77777777" w:rsidTr="000E7AE0">
        <w:trPr>
          <w:trHeight w:val="109"/>
        </w:trPr>
        <w:tc>
          <w:tcPr>
            <w:tcW w:w="2410" w:type="dxa"/>
            <w:shd w:val="clear" w:color="auto" w:fill="auto"/>
            <w:noWrap/>
            <w:vAlign w:val="bottom"/>
            <w:hideMark/>
          </w:tcPr>
          <w:p w14:paraId="48A44E54"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625DDACF"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45A01F6D"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2AE2657A" w14:textId="77777777" w:rsidR="005808D4" w:rsidRPr="002B2821" w:rsidRDefault="005808D4" w:rsidP="004E3103">
            <w:pPr>
              <w:spacing w:after="0" w:line="240" w:lineRule="auto"/>
              <w:jc w:val="right"/>
              <w:rPr>
                <w:lang w:eastAsia="en-GB"/>
              </w:rPr>
            </w:pPr>
          </w:p>
        </w:tc>
        <w:tc>
          <w:tcPr>
            <w:tcW w:w="1240" w:type="dxa"/>
            <w:shd w:val="clear" w:color="auto" w:fill="auto"/>
            <w:noWrap/>
            <w:vAlign w:val="bottom"/>
            <w:hideMark/>
          </w:tcPr>
          <w:p w14:paraId="4A5BBABB" w14:textId="77777777" w:rsidR="005808D4" w:rsidRPr="002B2821" w:rsidRDefault="005808D4" w:rsidP="004E3103">
            <w:pPr>
              <w:spacing w:after="0" w:line="240" w:lineRule="auto"/>
              <w:jc w:val="right"/>
              <w:rPr>
                <w:lang w:eastAsia="en-GB"/>
              </w:rPr>
            </w:pPr>
          </w:p>
        </w:tc>
        <w:tc>
          <w:tcPr>
            <w:tcW w:w="968" w:type="dxa"/>
            <w:shd w:val="clear" w:color="auto" w:fill="auto"/>
            <w:noWrap/>
            <w:vAlign w:val="bottom"/>
            <w:hideMark/>
          </w:tcPr>
          <w:p w14:paraId="3C1787BA"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4A8D414C" w14:textId="77777777" w:rsidR="005808D4" w:rsidRPr="002B2821" w:rsidRDefault="005808D4" w:rsidP="004E3103">
            <w:pPr>
              <w:spacing w:after="0" w:line="240" w:lineRule="auto"/>
              <w:rPr>
                <w:lang w:eastAsia="en-GB"/>
              </w:rPr>
            </w:pPr>
          </w:p>
        </w:tc>
      </w:tr>
      <w:tr w:rsidR="005808D4" w:rsidRPr="002B2821" w14:paraId="2C0CF196" w14:textId="77777777" w:rsidTr="000E7AE0">
        <w:trPr>
          <w:trHeight w:val="255"/>
        </w:trPr>
        <w:tc>
          <w:tcPr>
            <w:tcW w:w="2410" w:type="dxa"/>
            <w:shd w:val="clear" w:color="auto" w:fill="auto"/>
            <w:noWrap/>
            <w:vAlign w:val="bottom"/>
            <w:hideMark/>
          </w:tcPr>
          <w:p w14:paraId="0AC918AE" w14:textId="77777777"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Health Grant</w:t>
            </w:r>
          </w:p>
        </w:tc>
        <w:tc>
          <w:tcPr>
            <w:tcW w:w="562" w:type="dxa"/>
            <w:tcBorders>
              <w:right w:val="single" w:sz="4" w:space="0" w:color="3C3C3C"/>
            </w:tcBorders>
            <w:shd w:val="clear" w:color="auto" w:fill="auto"/>
            <w:noWrap/>
            <w:vAlign w:val="bottom"/>
            <w:hideMark/>
          </w:tcPr>
          <w:p w14:paraId="5FC4923E"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523" w:type="dxa"/>
            <w:tcBorders>
              <w:left w:val="single" w:sz="4" w:space="0" w:color="3C3C3C"/>
              <w:right w:val="single" w:sz="4" w:space="0" w:color="3C3C3C"/>
            </w:tcBorders>
            <w:shd w:val="clear" w:color="auto" w:fill="auto"/>
            <w:noWrap/>
            <w:vAlign w:val="bottom"/>
            <w:hideMark/>
          </w:tcPr>
          <w:p w14:paraId="132B35DC"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7BBDEA85"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3FDAF9F6"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10,471</w:t>
            </w:r>
          </w:p>
        </w:tc>
        <w:tc>
          <w:tcPr>
            <w:tcW w:w="968" w:type="dxa"/>
            <w:shd w:val="clear" w:color="auto" w:fill="auto"/>
            <w:noWrap/>
            <w:vAlign w:val="bottom"/>
            <w:hideMark/>
          </w:tcPr>
          <w:p w14:paraId="4EB41FC4"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10,471</w:t>
            </w:r>
          </w:p>
        </w:tc>
        <w:tc>
          <w:tcPr>
            <w:tcW w:w="1182" w:type="dxa"/>
            <w:shd w:val="clear" w:color="auto" w:fill="auto"/>
            <w:noWrap/>
            <w:vAlign w:val="bottom"/>
            <w:hideMark/>
          </w:tcPr>
          <w:p w14:paraId="28D0B9A4"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10,326</w:t>
            </w:r>
          </w:p>
        </w:tc>
      </w:tr>
      <w:tr w:rsidR="005808D4" w:rsidRPr="002B2821" w14:paraId="0541A012" w14:textId="77777777" w:rsidTr="000E7AE0">
        <w:trPr>
          <w:trHeight w:val="132"/>
        </w:trPr>
        <w:tc>
          <w:tcPr>
            <w:tcW w:w="2410" w:type="dxa"/>
            <w:shd w:val="clear" w:color="auto" w:fill="auto"/>
            <w:noWrap/>
            <w:vAlign w:val="bottom"/>
            <w:hideMark/>
          </w:tcPr>
          <w:p w14:paraId="079CD57F"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26B71FFC"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5A52DEE3"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383D8A39"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2BEC8BCB"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2CBBB17B"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572B2A87" w14:textId="77777777" w:rsidR="005808D4" w:rsidRPr="002B2821" w:rsidRDefault="005808D4" w:rsidP="004E3103">
            <w:pPr>
              <w:spacing w:after="0" w:line="240" w:lineRule="auto"/>
              <w:rPr>
                <w:lang w:eastAsia="en-GB"/>
              </w:rPr>
            </w:pPr>
          </w:p>
        </w:tc>
      </w:tr>
      <w:tr w:rsidR="005808D4" w:rsidRPr="002B2821" w14:paraId="62354E2E" w14:textId="77777777" w:rsidTr="000E7AE0">
        <w:trPr>
          <w:trHeight w:val="255"/>
        </w:trPr>
        <w:tc>
          <w:tcPr>
            <w:tcW w:w="2972" w:type="dxa"/>
            <w:gridSpan w:val="2"/>
            <w:tcBorders>
              <w:right w:val="single" w:sz="4" w:space="0" w:color="3C3C3C"/>
            </w:tcBorders>
            <w:shd w:val="clear" w:color="auto" w:fill="auto"/>
            <w:noWrap/>
            <w:vAlign w:val="bottom"/>
            <w:hideMark/>
          </w:tcPr>
          <w:p w14:paraId="41A676BB" w14:textId="77777777"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Payments from beneficiary accounts</w:t>
            </w:r>
          </w:p>
        </w:tc>
        <w:tc>
          <w:tcPr>
            <w:tcW w:w="1523" w:type="dxa"/>
            <w:tcBorders>
              <w:left w:val="single" w:sz="4" w:space="0" w:color="3C3C3C"/>
              <w:right w:val="single" w:sz="4" w:space="0" w:color="3C3C3C"/>
            </w:tcBorders>
            <w:shd w:val="clear" w:color="auto" w:fill="auto"/>
            <w:noWrap/>
            <w:vAlign w:val="bottom"/>
            <w:hideMark/>
          </w:tcPr>
          <w:p w14:paraId="2A25B382"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(3,035)</w:t>
            </w:r>
          </w:p>
        </w:tc>
        <w:tc>
          <w:tcPr>
            <w:tcW w:w="1459" w:type="dxa"/>
            <w:tcBorders>
              <w:left w:val="single" w:sz="4" w:space="0" w:color="3C3C3C"/>
            </w:tcBorders>
            <w:shd w:val="clear" w:color="auto" w:fill="auto"/>
            <w:noWrap/>
            <w:vAlign w:val="bottom"/>
            <w:hideMark/>
          </w:tcPr>
          <w:p w14:paraId="03645853"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(18,445)</w:t>
            </w:r>
          </w:p>
        </w:tc>
        <w:tc>
          <w:tcPr>
            <w:tcW w:w="1240" w:type="dxa"/>
            <w:shd w:val="clear" w:color="auto" w:fill="auto"/>
            <w:noWrap/>
            <w:vAlign w:val="bottom"/>
            <w:hideMark/>
          </w:tcPr>
          <w:p w14:paraId="3B9D1051"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(10,117)</w:t>
            </w:r>
          </w:p>
        </w:tc>
        <w:tc>
          <w:tcPr>
            <w:tcW w:w="968" w:type="dxa"/>
            <w:shd w:val="clear" w:color="auto" w:fill="auto"/>
            <w:noWrap/>
            <w:vAlign w:val="bottom"/>
            <w:hideMark/>
          </w:tcPr>
          <w:p w14:paraId="1387B4B1"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(31,597)</w:t>
            </w:r>
          </w:p>
        </w:tc>
        <w:tc>
          <w:tcPr>
            <w:tcW w:w="1182" w:type="dxa"/>
            <w:shd w:val="clear" w:color="auto" w:fill="auto"/>
            <w:noWrap/>
            <w:vAlign w:val="bottom"/>
            <w:hideMark/>
          </w:tcPr>
          <w:p w14:paraId="1D843F21"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(49,935)</w:t>
            </w:r>
          </w:p>
        </w:tc>
      </w:tr>
      <w:tr w:rsidR="005808D4" w:rsidRPr="002B2821" w14:paraId="14C85B4C" w14:textId="77777777" w:rsidTr="000E7AE0">
        <w:trPr>
          <w:trHeight w:val="147"/>
        </w:trPr>
        <w:tc>
          <w:tcPr>
            <w:tcW w:w="2410" w:type="dxa"/>
            <w:shd w:val="clear" w:color="auto" w:fill="auto"/>
            <w:noWrap/>
            <w:vAlign w:val="bottom"/>
            <w:hideMark/>
          </w:tcPr>
          <w:p w14:paraId="320533B9"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0C9E0119"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249CDB19"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308E1EB5"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573CCA50"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522A409E"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5AAB5FFB" w14:textId="77777777" w:rsidR="005808D4" w:rsidRPr="002B2821" w:rsidRDefault="005808D4" w:rsidP="004E3103">
            <w:pPr>
              <w:spacing w:after="0" w:line="240" w:lineRule="auto"/>
              <w:rPr>
                <w:lang w:eastAsia="en-GB"/>
              </w:rPr>
            </w:pPr>
          </w:p>
        </w:tc>
      </w:tr>
      <w:tr w:rsidR="005808D4" w:rsidRPr="002B2821" w14:paraId="2065FB76" w14:textId="77777777" w:rsidTr="000E7AE0">
        <w:trPr>
          <w:trHeight w:val="312"/>
        </w:trPr>
        <w:tc>
          <w:tcPr>
            <w:tcW w:w="2410" w:type="dxa"/>
            <w:shd w:val="clear" w:color="auto" w:fill="auto"/>
            <w:noWrap/>
            <w:vAlign w:val="bottom"/>
            <w:hideMark/>
          </w:tcPr>
          <w:p w14:paraId="6563325F" w14:textId="6919325B" w:rsidR="005808D4" w:rsidRPr="002B2821" w:rsidRDefault="005808D4" w:rsidP="004E3103">
            <w:pPr>
              <w:spacing w:after="0" w:line="240" w:lineRule="auto"/>
              <w:rPr>
                <w:rFonts w:ascii="Calibri" w:hAnsi="Calibri" w:cs="Arial"/>
                <w:color w:val="000000"/>
                <w:sz w:val="22"/>
                <w:szCs w:val="22"/>
                <w:lang w:eastAsia="en-GB"/>
              </w:rPr>
            </w:pPr>
          </w:p>
        </w:tc>
        <w:tc>
          <w:tcPr>
            <w:tcW w:w="562" w:type="dxa"/>
            <w:tcBorders>
              <w:right w:val="single" w:sz="4" w:space="0" w:color="3C3C3C"/>
            </w:tcBorders>
            <w:shd w:val="clear" w:color="auto" w:fill="auto"/>
            <w:noWrap/>
            <w:vAlign w:val="bottom"/>
            <w:hideMark/>
          </w:tcPr>
          <w:p w14:paraId="29905675"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523" w:type="dxa"/>
            <w:tcBorders>
              <w:left w:val="single" w:sz="4" w:space="0" w:color="3C3C3C"/>
              <w:right w:val="single" w:sz="4" w:space="0" w:color="3C3C3C"/>
            </w:tcBorders>
            <w:shd w:val="clear" w:color="auto" w:fill="auto"/>
            <w:noWrap/>
            <w:vAlign w:val="bottom"/>
            <w:hideMark/>
          </w:tcPr>
          <w:p w14:paraId="21518838"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4FE38B48"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6763392C"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64953C07"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6ADDDE99" w14:textId="77777777" w:rsidR="005808D4" w:rsidRPr="002B2821" w:rsidRDefault="005808D4" w:rsidP="004E3103">
            <w:pPr>
              <w:spacing w:after="0" w:line="240" w:lineRule="auto"/>
              <w:rPr>
                <w:lang w:eastAsia="en-GB"/>
              </w:rPr>
            </w:pPr>
          </w:p>
        </w:tc>
      </w:tr>
      <w:tr w:rsidR="005808D4" w:rsidRPr="002B2821" w14:paraId="415A4868" w14:textId="77777777" w:rsidTr="000E7AE0">
        <w:trPr>
          <w:trHeight w:val="308"/>
        </w:trPr>
        <w:tc>
          <w:tcPr>
            <w:tcW w:w="2972" w:type="dxa"/>
            <w:gridSpan w:val="2"/>
            <w:tcBorders>
              <w:right w:val="single" w:sz="4" w:space="0" w:color="3C3C3C"/>
            </w:tcBorders>
            <w:shd w:val="clear" w:color="auto" w:fill="auto"/>
            <w:noWrap/>
            <w:hideMark/>
          </w:tcPr>
          <w:p w14:paraId="22840667" w14:textId="1680133C" w:rsidR="005808D4" w:rsidRPr="002B2821" w:rsidRDefault="005808D4" w:rsidP="005808D4">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 xml:space="preserve">Adjustment for net </w:t>
            </w:r>
            <w:r w:rsidRPr="003D0323">
              <w:rPr>
                <w:rFonts w:ascii="Calibri" w:hAnsi="Calibri" w:cs="Arial"/>
                <w:color w:val="000000"/>
                <w:sz w:val="22"/>
                <w:szCs w:val="22"/>
                <w:lang w:eastAsia="en-GB"/>
              </w:rPr>
              <w:t xml:space="preserve">decrease/(increase) </w:t>
            </w:r>
            <w:r w:rsidR="0065093C" w:rsidRPr="003D0323">
              <w:rPr>
                <w:rFonts w:ascii="Calibri" w:hAnsi="Calibri" w:cs="Arial"/>
                <w:color w:val="000000"/>
                <w:sz w:val="22"/>
                <w:szCs w:val="22"/>
                <w:lang w:eastAsia="en-GB"/>
              </w:rPr>
              <w:t>in B</w:t>
            </w:r>
            <w:r w:rsidRPr="003D0323">
              <w:rPr>
                <w:rFonts w:ascii="Calibri" w:hAnsi="Calibri" w:cs="Arial"/>
                <w:color w:val="000000"/>
                <w:sz w:val="22"/>
                <w:szCs w:val="22"/>
                <w:lang w:eastAsia="en-GB"/>
              </w:rPr>
              <w:t xml:space="preserve">eneficiary </w:t>
            </w:r>
            <w:r w:rsidR="0065093C" w:rsidRPr="003D0323">
              <w:rPr>
                <w:rFonts w:ascii="Calibri" w:hAnsi="Calibri" w:cs="Arial"/>
                <w:color w:val="000000"/>
                <w:sz w:val="22"/>
                <w:szCs w:val="22"/>
                <w:lang w:eastAsia="en-GB"/>
              </w:rPr>
              <w:t>Memorandum A</w:t>
            </w:r>
            <w:r w:rsidRPr="003D0323">
              <w:rPr>
                <w:rFonts w:ascii="Calibri" w:hAnsi="Calibri" w:cs="Arial"/>
                <w:color w:val="000000"/>
                <w:sz w:val="22"/>
                <w:szCs w:val="22"/>
                <w:lang w:eastAsia="en-GB"/>
              </w:rPr>
              <w:t>ccounts</w:t>
            </w:r>
            <w:r>
              <w:rPr>
                <w:rFonts w:ascii="Calibri" w:hAnsi="Calibri" w:cs="Arial"/>
                <w:color w:val="000000"/>
                <w:sz w:val="22"/>
                <w:szCs w:val="22"/>
                <w:lang w:eastAsia="en-GB"/>
              </w:rPr>
              <w:t xml:space="preserve">                                              </w:t>
            </w:r>
          </w:p>
        </w:tc>
        <w:tc>
          <w:tcPr>
            <w:tcW w:w="1523" w:type="dxa"/>
            <w:tcBorders>
              <w:left w:val="single" w:sz="4" w:space="0" w:color="3C3C3C"/>
              <w:right w:val="single" w:sz="4" w:space="0" w:color="3C3C3C"/>
            </w:tcBorders>
            <w:shd w:val="clear" w:color="auto" w:fill="auto"/>
          </w:tcPr>
          <w:p w14:paraId="036CB0BE" w14:textId="36F650BC" w:rsidR="005808D4" w:rsidRPr="002B2821" w:rsidRDefault="005808D4" w:rsidP="005808D4">
            <w:pPr>
              <w:spacing w:after="0" w:line="240" w:lineRule="auto"/>
              <w:rPr>
                <w:rFonts w:ascii="Calibri" w:hAnsi="Calibri" w:cs="Arial"/>
                <w:color w:val="000000"/>
                <w:sz w:val="22"/>
                <w:szCs w:val="22"/>
                <w:lang w:eastAsia="en-GB"/>
              </w:rPr>
            </w:pPr>
          </w:p>
        </w:tc>
        <w:tc>
          <w:tcPr>
            <w:tcW w:w="1459" w:type="dxa"/>
            <w:tcBorders>
              <w:left w:val="single" w:sz="4" w:space="0" w:color="3C3C3C"/>
            </w:tcBorders>
            <w:shd w:val="clear" w:color="auto" w:fill="auto"/>
            <w:noWrap/>
            <w:vAlign w:val="bottom"/>
            <w:hideMark/>
          </w:tcPr>
          <w:p w14:paraId="7BC51873" w14:textId="77777777" w:rsidR="005808D4" w:rsidRPr="002B2821" w:rsidRDefault="005808D4" w:rsidP="004E3103">
            <w:pPr>
              <w:spacing w:after="0" w:line="240" w:lineRule="auto"/>
              <w:rPr>
                <w:rFonts w:ascii="Calibri" w:hAnsi="Calibri" w:cs="Arial"/>
                <w:color w:val="000000"/>
                <w:sz w:val="22"/>
                <w:szCs w:val="22"/>
                <w:lang w:eastAsia="en-GB"/>
              </w:rPr>
            </w:pPr>
          </w:p>
        </w:tc>
        <w:tc>
          <w:tcPr>
            <w:tcW w:w="1240" w:type="dxa"/>
            <w:shd w:val="clear" w:color="auto" w:fill="auto"/>
            <w:noWrap/>
            <w:vAlign w:val="bottom"/>
            <w:hideMark/>
          </w:tcPr>
          <w:p w14:paraId="5347F328"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0A481748" w14:textId="51AE9748" w:rsidR="005808D4" w:rsidRPr="002B2821" w:rsidRDefault="005808D4" w:rsidP="004E3103">
            <w:pPr>
              <w:spacing w:after="0" w:line="240" w:lineRule="auto"/>
              <w:jc w:val="right"/>
              <w:rPr>
                <w:rFonts w:ascii="Calibri" w:hAnsi="Calibri" w:cs="Arial"/>
                <w:b/>
                <w:bCs/>
                <w:color w:val="000000"/>
                <w:sz w:val="22"/>
                <w:szCs w:val="22"/>
                <w:lang w:eastAsia="en-GB"/>
              </w:rPr>
            </w:pPr>
            <w:r>
              <w:rPr>
                <w:rFonts w:ascii="Calibri" w:hAnsi="Calibri" w:cs="Arial"/>
                <w:b/>
                <w:bCs/>
                <w:color w:val="000000"/>
                <w:sz w:val="22"/>
                <w:szCs w:val="22"/>
                <w:lang w:eastAsia="en-GB"/>
              </w:rPr>
              <w:t>2,184</w:t>
            </w:r>
          </w:p>
        </w:tc>
        <w:tc>
          <w:tcPr>
            <w:tcW w:w="1182" w:type="dxa"/>
            <w:shd w:val="clear" w:color="auto" w:fill="auto"/>
            <w:noWrap/>
            <w:vAlign w:val="bottom"/>
            <w:hideMark/>
          </w:tcPr>
          <w:p w14:paraId="64CAA545"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(250)</w:t>
            </w:r>
          </w:p>
        </w:tc>
      </w:tr>
      <w:tr w:rsidR="005808D4" w:rsidRPr="002B2821" w14:paraId="71DC998F" w14:textId="77777777" w:rsidTr="000E7AE0">
        <w:trPr>
          <w:trHeight w:val="132"/>
        </w:trPr>
        <w:tc>
          <w:tcPr>
            <w:tcW w:w="2410" w:type="dxa"/>
            <w:shd w:val="clear" w:color="auto" w:fill="auto"/>
            <w:noWrap/>
            <w:vAlign w:val="bottom"/>
            <w:hideMark/>
          </w:tcPr>
          <w:p w14:paraId="58CF37E7"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20A08378" w14:textId="77777777" w:rsidR="005808D4" w:rsidRPr="002B2821" w:rsidRDefault="005808D4" w:rsidP="004E3103">
            <w:pPr>
              <w:spacing w:after="0" w:line="240" w:lineRule="auto"/>
              <w:rPr>
                <w:lang w:eastAsia="en-GB"/>
              </w:rPr>
            </w:pPr>
          </w:p>
        </w:tc>
        <w:tc>
          <w:tcPr>
            <w:tcW w:w="1523" w:type="dxa"/>
            <w:tcBorders>
              <w:left w:val="single" w:sz="4" w:space="0" w:color="3C3C3C"/>
              <w:right w:val="single" w:sz="4" w:space="0" w:color="3C3C3C"/>
            </w:tcBorders>
            <w:shd w:val="clear" w:color="auto" w:fill="auto"/>
            <w:noWrap/>
            <w:vAlign w:val="bottom"/>
            <w:hideMark/>
          </w:tcPr>
          <w:p w14:paraId="48E0514F" w14:textId="77777777" w:rsidR="005808D4" w:rsidRPr="002B2821" w:rsidRDefault="005808D4" w:rsidP="004E3103">
            <w:pPr>
              <w:spacing w:after="0" w:line="240" w:lineRule="auto"/>
              <w:rPr>
                <w:lang w:eastAsia="en-GB"/>
              </w:rPr>
            </w:pPr>
          </w:p>
        </w:tc>
        <w:tc>
          <w:tcPr>
            <w:tcW w:w="1459" w:type="dxa"/>
            <w:tcBorders>
              <w:left w:val="single" w:sz="4" w:space="0" w:color="3C3C3C"/>
            </w:tcBorders>
            <w:shd w:val="clear" w:color="auto" w:fill="auto"/>
            <w:noWrap/>
            <w:vAlign w:val="bottom"/>
            <w:hideMark/>
          </w:tcPr>
          <w:p w14:paraId="609C1ECF"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6056E69B"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00D9A85F"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26993FA3" w14:textId="77777777" w:rsidR="005808D4" w:rsidRPr="002B2821" w:rsidRDefault="005808D4" w:rsidP="004E3103">
            <w:pPr>
              <w:spacing w:after="0" w:line="240" w:lineRule="auto"/>
              <w:rPr>
                <w:lang w:eastAsia="en-GB"/>
              </w:rPr>
            </w:pPr>
          </w:p>
        </w:tc>
      </w:tr>
      <w:tr w:rsidR="005808D4" w:rsidRPr="002B2821" w14:paraId="3FA348A1" w14:textId="77777777" w:rsidTr="000E7AE0">
        <w:trPr>
          <w:trHeight w:val="255"/>
        </w:trPr>
        <w:tc>
          <w:tcPr>
            <w:tcW w:w="2972" w:type="dxa"/>
            <w:gridSpan w:val="2"/>
            <w:tcBorders>
              <w:right w:val="single" w:sz="4" w:space="0" w:color="3C3C3C"/>
            </w:tcBorders>
            <w:shd w:val="clear" w:color="auto" w:fill="auto"/>
            <w:noWrap/>
            <w:vAlign w:val="bottom"/>
            <w:hideMark/>
          </w:tcPr>
          <w:p w14:paraId="36FBF4B1" w14:textId="77777777" w:rsidR="005808D4" w:rsidRPr="002B2821" w:rsidRDefault="005808D4" w:rsidP="004E3103">
            <w:pPr>
              <w:spacing w:after="0" w:line="240" w:lineRule="auto"/>
              <w:rPr>
                <w:rFonts w:ascii="Calibri" w:hAnsi="Calibri" w:cs="Arial"/>
                <w:b/>
                <w:bCs/>
                <w:color w:val="000000"/>
                <w:sz w:val="22"/>
                <w:szCs w:val="22"/>
                <w:lang w:eastAsia="en-GB"/>
              </w:rPr>
            </w:pPr>
            <w:r w:rsidRPr="002B2821">
              <w:rPr>
                <w:rFonts w:ascii="Calibri" w:hAnsi="Calibri" w:cs="Arial"/>
                <w:b/>
                <w:bCs/>
                <w:color w:val="000000"/>
                <w:sz w:val="22"/>
                <w:szCs w:val="22"/>
                <w:lang w:eastAsia="en-GB"/>
              </w:rPr>
              <w:t>As at 30 September 2018:</w:t>
            </w:r>
          </w:p>
        </w:tc>
        <w:tc>
          <w:tcPr>
            <w:tcW w:w="1523" w:type="dxa"/>
            <w:tcBorders>
              <w:left w:val="single" w:sz="4" w:space="0" w:color="3C3C3C"/>
              <w:right w:val="single" w:sz="4" w:space="0" w:color="3C3C3C"/>
            </w:tcBorders>
            <w:shd w:val="clear" w:color="auto" w:fill="auto"/>
            <w:noWrap/>
            <w:vAlign w:val="bottom"/>
            <w:hideMark/>
          </w:tcPr>
          <w:p w14:paraId="7AE6F9F2" w14:textId="77777777" w:rsidR="005808D4" w:rsidRPr="002B2821" w:rsidRDefault="005808D4" w:rsidP="004E3103">
            <w:pPr>
              <w:spacing w:after="0" w:line="240" w:lineRule="auto"/>
              <w:rPr>
                <w:rFonts w:ascii="Calibri" w:hAnsi="Calibri" w:cs="Arial"/>
                <w:b/>
                <w:bCs/>
                <w:color w:val="000000"/>
                <w:sz w:val="22"/>
                <w:szCs w:val="22"/>
                <w:lang w:eastAsia="en-GB"/>
              </w:rPr>
            </w:pPr>
          </w:p>
        </w:tc>
        <w:tc>
          <w:tcPr>
            <w:tcW w:w="1459" w:type="dxa"/>
            <w:tcBorders>
              <w:left w:val="single" w:sz="4" w:space="0" w:color="3C3C3C"/>
            </w:tcBorders>
            <w:shd w:val="clear" w:color="auto" w:fill="auto"/>
            <w:noWrap/>
            <w:vAlign w:val="bottom"/>
            <w:hideMark/>
          </w:tcPr>
          <w:p w14:paraId="0A0FBC58" w14:textId="77777777" w:rsidR="005808D4" w:rsidRPr="002B2821" w:rsidRDefault="005808D4" w:rsidP="004E3103">
            <w:pPr>
              <w:spacing w:after="0" w:line="240" w:lineRule="auto"/>
              <w:rPr>
                <w:lang w:eastAsia="en-GB"/>
              </w:rPr>
            </w:pPr>
          </w:p>
        </w:tc>
        <w:tc>
          <w:tcPr>
            <w:tcW w:w="1240" w:type="dxa"/>
            <w:shd w:val="clear" w:color="auto" w:fill="auto"/>
            <w:noWrap/>
            <w:vAlign w:val="bottom"/>
            <w:hideMark/>
          </w:tcPr>
          <w:p w14:paraId="18B92029"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11139479"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51024F76" w14:textId="77777777" w:rsidR="005808D4" w:rsidRPr="002B2821" w:rsidRDefault="005808D4" w:rsidP="004E3103">
            <w:pPr>
              <w:spacing w:after="0" w:line="240" w:lineRule="auto"/>
              <w:rPr>
                <w:lang w:eastAsia="en-GB"/>
              </w:rPr>
            </w:pPr>
          </w:p>
        </w:tc>
      </w:tr>
      <w:tr w:rsidR="005808D4" w:rsidRPr="002B2821" w14:paraId="5D8F9034" w14:textId="77777777" w:rsidTr="000E7AE0">
        <w:trPr>
          <w:trHeight w:val="255"/>
        </w:trPr>
        <w:tc>
          <w:tcPr>
            <w:tcW w:w="2972" w:type="dxa"/>
            <w:gridSpan w:val="2"/>
            <w:tcBorders>
              <w:right w:val="single" w:sz="4" w:space="0" w:color="3C3C3C"/>
            </w:tcBorders>
            <w:shd w:val="clear" w:color="auto" w:fill="auto"/>
            <w:noWrap/>
            <w:vAlign w:val="bottom"/>
            <w:hideMark/>
          </w:tcPr>
          <w:p w14:paraId="76262ADE" w14:textId="77777777" w:rsidR="005808D4" w:rsidRPr="002B2821" w:rsidRDefault="005808D4" w:rsidP="005808D4">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Balance Sheet creditors</w:t>
            </w:r>
          </w:p>
        </w:tc>
        <w:tc>
          <w:tcPr>
            <w:tcW w:w="1523" w:type="dxa"/>
            <w:tcBorders>
              <w:left w:val="single" w:sz="4" w:space="0" w:color="3C3C3C"/>
              <w:right w:val="single" w:sz="4" w:space="0" w:color="3C3C3C"/>
            </w:tcBorders>
            <w:shd w:val="clear" w:color="auto" w:fill="auto"/>
            <w:noWrap/>
            <w:vAlign w:val="bottom"/>
            <w:hideMark/>
          </w:tcPr>
          <w:p w14:paraId="31477372" w14:textId="77777777" w:rsidR="005808D4" w:rsidRPr="002B2821" w:rsidRDefault="005808D4" w:rsidP="004E3103">
            <w:pPr>
              <w:spacing w:after="0" w:line="240" w:lineRule="auto"/>
              <w:rPr>
                <w:rFonts w:ascii="Calibri" w:hAnsi="Calibri" w:cs="Arial"/>
                <w:b/>
                <w:bCs/>
                <w:color w:val="000000"/>
                <w:sz w:val="22"/>
                <w:szCs w:val="22"/>
                <w:lang w:eastAsia="en-GB"/>
              </w:rPr>
            </w:pPr>
          </w:p>
        </w:tc>
        <w:tc>
          <w:tcPr>
            <w:tcW w:w="1459" w:type="dxa"/>
            <w:tcBorders>
              <w:left w:val="single" w:sz="4" w:space="0" w:color="3C3C3C"/>
            </w:tcBorders>
            <w:shd w:val="clear" w:color="auto" w:fill="auto"/>
            <w:noWrap/>
            <w:vAlign w:val="bottom"/>
            <w:hideMark/>
          </w:tcPr>
          <w:p w14:paraId="1D24AC5D"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14,165</w:t>
            </w:r>
          </w:p>
        </w:tc>
        <w:tc>
          <w:tcPr>
            <w:tcW w:w="1240" w:type="dxa"/>
            <w:shd w:val="clear" w:color="auto" w:fill="auto"/>
            <w:noWrap/>
            <w:vAlign w:val="bottom"/>
            <w:hideMark/>
          </w:tcPr>
          <w:p w14:paraId="22F53E5C"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3,170</w:t>
            </w:r>
          </w:p>
        </w:tc>
        <w:tc>
          <w:tcPr>
            <w:tcW w:w="968" w:type="dxa"/>
            <w:shd w:val="clear" w:color="auto" w:fill="auto"/>
            <w:noWrap/>
            <w:vAlign w:val="bottom"/>
            <w:hideMark/>
          </w:tcPr>
          <w:p w14:paraId="35660958"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17,335</w:t>
            </w:r>
          </w:p>
        </w:tc>
        <w:tc>
          <w:tcPr>
            <w:tcW w:w="1182" w:type="dxa"/>
            <w:shd w:val="clear" w:color="auto" w:fill="auto"/>
            <w:noWrap/>
            <w:vAlign w:val="bottom"/>
            <w:hideMark/>
          </w:tcPr>
          <w:p w14:paraId="4652340F" w14:textId="77777777" w:rsidR="005808D4" w:rsidRPr="002B2821" w:rsidRDefault="005808D4" w:rsidP="004E3103">
            <w:pPr>
              <w:spacing w:after="0" w:line="240" w:lineRule="auto"/>
              <w:jc w:val="right"/>
              <w:rPr>
                <w:rFonts w:ascii="Calibri" w:hAnsi="Calibri" w:cs="Arial"/>
                <w:color w:val="000000"/>
                <w:sz w:val="22"/>
                <w:szCs w:val="22"/>
                <w:lang w:eastAsia="en-GB"/>
              </w:rPr>
            </w:pPr>
            <w:r w:rsidRPr="002B2821">
              <w:rPr>
                <w:rFonts w:ascii="Calibri" w:hAnsi="Calibri" w:cs="Arial"/>
                <w:color w:val="000000"/>
                <w:sz w:val="22"/>
                <w:szCs w:val="22"/>
                <w:lang w:eastAsia="en-GB"/>
              </w:rPr>
              <w:t>17,525</w:t>
            </w:r>
          </w:p>
        </w:tc>
      </w:tr>
      <w:tr w:rsidR="005808D4" w:rsidRPr="002B2821" w14:paraId="257AC4DB" w14:textId="77777777" w:rsidTr="000E7AE0">
        <w:trPr>
          <w:trHeight w:val="255"/>
        </w:trPr>
        <w:tc>
          <w:tcPr>
            <w:tcW w:w="2972" w:type="dxa"/>
            <w:gridSpan w:val="2"/>
            <w:tcBorders>
              <w:right w:val="single" w:sz="4" w:space="0" w:color="3C3C3C"/>
            </w:tcBorders>
            <w:shd w:val="clear" w:color="auto" w:fill="auto"/>
            <w:noWrap/>
            <w:vAlign w:val="bottom"/>
            <w:hideMark/>
          </w:tcPr>
          <w:p w14:paraId="679ABDFD" w14:textId="6D822FE8" w:rsidR="005808D4" w:rsidRPr="002B2821" w:rsidRDefault="005808D4" w:rsidP="005808D4">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Trust fund balance</w:t>
            </w:r>
          </w:p>
        </w:tc>
        <w:tc>
          <w:tcPr>
            <w:tcW w:w="1523" w:type="dxa"/>
            <w:tcBorders>
              <w:left w:val="single" w:sz="4" w:space="0" w:color="3C3C3C"/>
              <w:right w:val="single" w:sz="4" w:space="0" w:color="3C3C3C"/>
            </w:tcBorders>
            <w:shd w:val="clear" w:color="auto" w:fill="auto"/>
            <w:noWrap/>
            <w:vAlign w:val="bottom"/>
            <w:hideMark/>
          </w:tcPr>
          <w:p w14:paraId="36777BA9" w14:textId="77777777" w:rsidR="005808D4" w:rsidRPr="002B2821" w:rsidRDefault="005808D4" w:rsidP="004E3103">
            <w:pPr>
              <w:spacing w:after="0" w:line="240" w:lineRule="auto"/>
              <w:jc w:val="right"/>
              <w:rPr>
                <w:rFonts w:ascii="Calibri" w:hAnsi="Calibri" w:cs="Arial"/>
                <w:b/>
                <w:bCs/>
                <w:color w:val="000000"/>
                <w:sz w:val="22"/>
                <w:szCs w:val="22"/>
                <w:lang w:eastAsia="en-GB"/>
              </w:rPr>
            </w:pPr>
            <w:r w:rsidRPr="002B2821">
              <w:rPr>
                <w:rFonts w:ascii="Calibri" w:hAnsi="Calibri" w:cs="Arial"/>
                <w:b/>
                <w:bCs/>
                <w:color w:val="000000"/>
                <w:sz w:val="22"/>
                <w:szCs w:val="22"/>
                <w:lang w:eastAsia="en-GB"/>
              </w:rPr>
              <w:t>6,681</w:t>
            </w:r>
          </w:p>
        </w:tc>
        <w:tc>
          <w:tcPr>
            <w:tcW w:w="1459" w:type="dxa"/>
            <w:tcBorders>
              <w:left w:val="single" w:sz="4" w:space="0" w:color="3C3C3C"/>
            </w:tcBorders>
            <w:shd w:val="clear" w:color="auto" w:fill="auto"/>
            <w:noWrap/>
            <w:vAlign w:val="bottom"/>
            <w:hideMark/>
          </w:tcPr>
          <w:p w14:paraId="20CFD9B0" w14:textId="77777777" w:rsidR="005808D4" w:rsidRPr="002B2821" w:rsidRDefault="005808D4" w:rsidP="004E3103">
            <w:pPr>
              <w:spacing w:after="0" w:line="240" w:lineRule="auto"/>
              <w:jc w:val="right"/>
              <w:rPr>
                <w:rFonts w:ascii="Calibri" w:hAnsi="Calibri" w:cs="Arial"/>
                <w:b/>
                <w:bCs/>
                <w:color w:val="000000"/>
                <w:sz w:val="22"/>
                <w:szCs w:val="22"/>
                <w:lang w:eastAsia="en-GB"/>
              </w:rPr>
            </w:pPr>
          </w:p>
        </w:tc>
        <w:tc>
          <w:tcPr>
            <w:tcW w:w="1240" w:type="dxa"/>
            <w:shd w:val="clear" w:color="auto" w:fill="auto"/>
            <w:noWrap/>
            <w:vAlign w:val="bottom"/>
            <w:hideMark/>
          </w:tcPr>
          <w:p w14:paraId="60DEFFDD"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660AB3B3" w14:textId="77777777" w:rsidR="005808D4" w:rsidRPr="002B2821" w:rsidRDefault="005808D4" w:rsidP="004E3103">
            <w:pPr>
              <w:spacing w:after="0" w:line="240" w:lineRule="auto"/>
              <w:rPr>
                <w:lang w:eastAsia="en-GB"/>
              </w:rPr>
            </w:pPr>
          </w:p>
        </w:tc>
        <w:tc>
          <w:tcPr>
            <w:tcW w:w="1182" w:type="dxa"/>
            <w:shd w:val="clear" w:color="auto" w:fill="auto"/>
            <w:noWrap/>
            <w:vAlign w:val="bottom"/>
            <w:hideMark/>
          </w:tcPr>
          <w:p w14:paraId="6FC6A522" w14:textId="77777777" w:rsidR="005808D4" w:rsidRPr="002B2821" w:rsidRDefault="005808D4" w:rsidP="004E3103">
            <w:pPr>
              <w:spacing w:after="0" w:line="240" w:lineRule="auto"/>
              <w:rPr>
                <w:lang w:eastAsia="en-GB"/>
              </w:rPr>
            </w:pPr>
          </w:p>
        </w:tc>
      </w:tr>
      <w:tr w:rsidR="005808D4" w:rsidRPr="002B2821" w14:paraId="084A7FCA" w14:textId="77777777" w:rsidTr="000E7AE0">
        <w:trPr>
          <w:trHeight w:val="255"/>
        </w:trPr>
        <w:tc>
          <w:tcPr>
            <w:tcW w:w="2410" w:type="dxa"/>
            <w:shd w:val="clear" w:color="auto" w:fill="auto"/>
            <w:noWrap/>
            <w:vAlign w:val="bottom"/>
            <w:hideMark/>
          </w:tcPr>
          <w:p w14:paraId="71DECAF1" w14:textId="77777777" w:rsidR="005808D4" w:rsidRPr="002B2821" w:rsidRDefault="005808D4" w:rsidP="004E3103">
            <w:pPr>
              <w:spacing w:after="0" w:line="240" w:lineRule="auto"/>
              <w:rPr>
                <w:lang w:eastAsia="en-GB"/>
              </w:rPr>
            </w:pPr>
          </w:p>
        </w:tc>
        <w:tc>
          <w:tcPr>
            <w:tcW w:w="562" w:type="dxa"/>
            <w:tcBorders>
              <w:right w:val="single" w:sz="4" w:space="0" w:color="3C3C3C"/>
            </w:tcBorders>
            <w:shd w:val="clear" w:color="auto" w:fill="auto"/>
            <w:noWrap/>
            <w:vAlign w:val="bottom"/>
            <w:hideMark/>
          </w:tcPr>
          <w:p w14:paraId="0B1C6109" w14:textId="77777777" w:rsidR="005808D4" w:rsidRPr="002B2821" w:rsidRDefault="005808D4" w:rsidP="004E3103">
            <w:pPr>
              <w:spacing w:after="0" w:line="240" w:lineRule="auto"/>
              <w:rPr>
                <w:lang w:eastAsia="en-GB"/>
              </w:rPr>
            </w:pPr>
          </w:p>
        </w:tc>
        <w:tc>
          <w:tcPr>
            <w:tcW w:w="1523" w:type="dxa"/>
            <w:tcBorders>
              <w:left w:val="single" w:sz="4" w:space="0" w:color="3C3C3C"/>
              <w:bottom w:val="single" w:sz="4" w:space="0" w:color="3C3C3C"/>
              <w:right w:val="single" w:sz="4" w:space="0" w:color="3C3C3C"/>
            </w:tcBorders>
            <w:shd w:val="clear" w:color="auto" w:fill="auto"/>
            <w:noWrap/>
            <w:vAlign w:val="bottom"/>
            <w:hideMark/>
          </w:tcPr>
          <w:p w14:paraId="5AC355E2" w14:textId="6AC64BEA" w:rsidR="005808D4" w:rsidRPr="002B2821" w:rsidRDefault="00393353" w:rsidP="004E3103">
            <w:pPr>
              <w:spacing w:after="0" w:line="240" w:lineRule="auto"/>
              <w:jc w:val="right"/>
              <w:rPr>
                <w:rFonts w:ascii="Calibri" w:hAnsi="Calibri" w:cs="Arial"/>
                <w:color w:val="000000"/>
                <w:sz w:val="22"/>
                <w:szCs w:val="22"/>
                <w:lang w:eastAsia="en-GB"/>
              </w:rPr>
            </w:pPr>
            <w:r>
              <w:rPr>
                <w:rFonts w:ascii="Calibri" w:hAnsi="Calibri" w:cs="Arial"/>
                <w:color w:val="000000"/>
                <w:sz w:val="22"/>
                <w:szCs w:val="22"/>
                <w:lang w:eastAsia="en-GB"/>
              </w:rPr>
              <w:t>n</w:t>
            </w:r>
            <w:r w:rsidR="005808D4" w:rsidRPr="002B2821">
              <w:rPr>
                <w:rFonts w:ascii="Calibri" w:hAnsi="Calibri" w:cs="Arial"/>
                <w:color w:val="000000"/>
                <w:sz w:val="22"/>
                <w:szCs w:val="22"/>
                <w:lang w:eastAsia="en-GB"/>
              </w:rPr>
              <w:t>ote 10</w:t>
            </w:r>
          </w:p>
        </w:tc>
        <w:tc>
          <w:tcPr>
            <w:tcW w:w="1459" w:type="dxa"/>
            <w:tcBorders>
              <w:left w:val="single" w:sz="4" w:space="0" w:color="3C3C3C"/>
            </w:tcBorders>
            <w:shd w:val="clear" w:color="auto" w:fill="auto"/>
            <w:noWrap/>
            <w:vAlign w:val="bottom"/>
            <w:hideMark/>
          </w:tcPr>
          <w:p w14:paraId="12C2A11C" w14:textId="77777777" w:rsidR="005808D4" w:rsidRPr="002B2821" w:rsidRDefault="005808D4" w:rsidP="004E3103">
            <w:pPr>
              <w:spacing w:after="0" w:line="240" w:lineRule="auto"/>
              <w:jc w:val="right"/>
              <w:rPr>
                <w:rFonts w:ascii="Calibri" w:hAnsi="Calibri" w:cs="Arial"/>
                <w:color w:val="000000"/>
                <w:sz w:val="22"/>
                <w:szCs w:val="22"/>
                <w:lang w:eastAsia="en-GB"/>
              </w:rPr>
            </w:pPr>
          </w:p>
        </w:tc>
        <w:tc>
          <w:tcPr>
            <w:tcW w:w="1240" w:type="dxa"/>
            <w:shd w:val="clear" w:color="auto" w:fill="auto"/>
            <w:noWrap/>
            <w:vAlign w:val="bottom"/>
            <w:hideMark/>
          </w:tcPr>
          <w:p w14:paraId="4FAB7920" w14:textId="77777777" w:rsidR="005808D4" w:rsidRPr="002B2821" w:rsidRDefault="005808D4" w:rsidP="004E3103">
            <w:pPr>
              <w:spacing w:after="0" w:line="240" w:lineRule="auto"/>
              <w:rPr>
                <w:lang w:eastAsia="en-GB"/>
              </w:rPr>
            </w:pPr>
          </w:p>
        </w:tc>
        <w:tc>
          <w:tcPr>
            <w:tcW w:w="968" w:type="dxa"/>
            <w:shd w:val="clear" w:color="auto" w:fill="auto"/>
            <w:noWrap/>
            <w:vAlign w:val="bottom"/>
            <w:hideMark/>
          </w:tcPr>
          <w:p w14:paraId="0052A52F" w14:textId="77777777" w:rsidR="005808D4" w:rsidRPr="002B2821" w:rsidRDefault="005808D4" w:rsidP="004E3103">
            <w:pPr>
              <w:spacing w:after="0" w:line="240" w:lineRule="auto"/>
              <w:rPr>
                <w:rFonts w:ascii="Calibri" w:hAnsi="Calibri" w:cs="Arial"/>
                <w:color w:val="000000"/>
                <w:sz w:val="22"/>
                <w:szCs w:val="22"/>
                <w:lang w:eastAsia="en-GB"/>
              </w:rPr>
            </w:pPr>
            <w:r w:rsidRPr="002B2821">
              <w:rPr>
                <w:rFonts w:ascii="Calibri" w:hAnsi="Calibri" w:cs="Arial"/>
                <w:color w:val="000000"/>
                <w:sz w:val="22"/>
                <w:szCs w:val="22"/>
                <w:lang w:eastAsia="en-GB"/>
              </w:rPr>
              <w:t xml:space="preserve"> </w:t>
            </w:r>
          </w:p>
        </w:tc>
        <w:tc>
          <w:tcPr>
            <w:tcW w:w="1182" w:type="dxa"/>
            <w:shd w:val="clear" w:color="auto" w:fill="auto"/>
            <w:noWrap/>
            <w:vAlign w:val="bottom"/>
            <w:hideMark/>
          </w:tcPr>
          <w:p w14:paraId="3DD7D5AD" w14:textId="77777777" w:rsidR="005808D4" w:rsidRPr="002B2821" w:rsidRDefault="005808D4" w:rsidP="004E3103">
            <w:pPr>
              <w:spacing w:after="0" w:line="240" w:lineRule="auto"/>
              <w:rPr>
                <w:lang w:eastAsia="en-GB"/>
              </w:rPr>
            </w:pPr>
          </w:p>
        </w:tc>
      </w:tr>
    </w:tbl>
    <w:p w14:paraId="20C56DEC" w14:textId="77777777" w:rsidR="00E3094E" w:rsidRPr="002B2821" w:rsidRDefault="00E3094E" w:rsidP="00C6373E">
      <w:pPr>
        <w:pStyle w:val="BodyText"/>
        <w:spacing w:after="0" w:line="240" w:lineRule="auto"/>
        <w:rPr>
          <w:rFonts w:asciiTheme="minorHAnsi" w:hAnsiTheme="minorHAnsi" w:cs="Arial"/>
          <w:b/>
          <w:color w:val="0000FF"/>
          <w:sz w:val="24"/>
          <w:szCs w:val="24"/>
        </w:rPr>
      </w:pPr>
    </w:p>
    <w:p w14:paraId="70278D48" w14:textId="4924C5B2" w:rsidR="00FE1337" w:rsidRPr="002B2821" w:rsidRDefault="0065093C" w:rsidP="00E540A0">
      <w:pPr>
        <w:pStyle w:val="BodyText"/>
        <w:spacing w:after="180" w:line="240" w:lineRule="auto"/>
        <w:rPr>
          <w:rFonts w:asciiTheme="minorHAnsi" w:hAnsiTheme="minorHAnsi" w:cs="Arial"/>
          <w:color w:val="000000" w:themeColor="text1"/>
          <w:sz w:val="24"/>
          <w:szCs w:val="24"/>
        </w:rPr>
      </w:pPr>
      <w:r>
        <w:rPr>
          <w:rFonts w:ascii="Calibri" w:hAnsi="Calibri" w:cs="Arial"/>
          <w:color w:val="000000"/>
          <w:sz w:val="24"/>
          <w:szCs w:val="24"/>
          <w:lang w:eastAsia="en-GB"/>
        </w:rPr>
        <w:t xml:space="preserve">Beneficiary Memorandum </w:t>
      </w:r>
      <w:r w:rsidR="00E22FE9" w:rsidRPr="002B2821">
        <w:rPr>
          <w:rFonts w:asciiTheme="minorHAnsi" w:hAnsiTheme="minorHAnsi" w:cs="Arial"/>
          <w:color w:val="000000" w:themeColor="text1"/>
          <w:sz w:val="24"/>
          <w:szCs w:val="24"/>
        </w:rPr>
        <w:t>A</w:t>
      </w:r>
      <w:r w:rsidR="005204A6" w:rsidRPr="002B2821">
        <w:rPr>
          <w:rFonts w:asciiTheme="minorHAnsi" w:hAnsiTheme="minorHAnsi" w:cs="Arial"/>
          <w:color w:val="000000" w:themeColor="text1"/>
          <w:sz w:val="24"/>
          <w:szCs w:val="24"/>
        </w:rPr>
        <w:t xml:space="preserve">ccounts </w:t>
      </w:r>
      <w:r w:rsidR="00FE5A47">
        <w:rPr>
          <w:rFonts w:asciiTheme="minorHAnsi" w:hAnsiTheme="minorHAnsi" w:cs="Arial"/>
          <w:color w:val="000000" w:themeColor="text1"/>
          <w:sz w:val="24"/>
          <w:szCs w:val="24"/>
        </w:rPr>
        <w:t xml:space="preserve">are all designated funds and </w:t>
      </w:r>
      <w:r w:rsidR="005204A6" w:rsidRPr="002B2821">
        <w:rPr>
          <w:rFonts w:asciiTheme="minorHAnsi" w:hAnsiTheme="minorHAnsi" w:cs="Arial"/>
          <w:color w:val="000000" w:themeColor="text1"/>
          <w:sz w:val="24"/>
          <w:szCs w:val="24"/>
        </w:rPr>
        <w:t xml:space="preserve">include: accounts for beneficiaries who </w:t>
      </w:r>
      <w:r w:rsidR="00FB5B43" w:rsidRPr="002B2821">
        <w:rPr>
          <w:rFonts w:asciiTheme="minorHAnsi" w:hAnsiTheme="minorHAnsi" w:cs="Arial"/>
          <w:color w:val="000000" w:themeColor="text1"/>
          <w:sz w:val="24"/>
          <w:szCs w:val="24"/>
        </w:rPr>
        <w:t>lack capacity to</w:t>
      </w:r>
      <w:r w:rsidR="005204A6" w:rsidRPr="002B2821">
        <w:rPr>
          <w:rFonts w:asciiTheme="minorHAnsi" w:hAnsiTheme="minorHAnsi" w:cs="Arial"/>
          <w:color w:val="000000" w:themeColor="text1"/>
          <w:sz w:val="24"/>
          <w:szCs w:val="24"/>
        </w:rPr>
        <w:t xml:space="preserve"> </w:t>
      </w:r>
      <w:r w:rsidR="003D0323">
        <w:rPr>
          <w:rFonts w:asciiTheme="minorHAnsi" w:hAnsiTheme="minorHAnsi" w:cs="Arial"/>
          <w:color w:val="000000" w:themeColor="text1"/>
          <w:sz w:val="24"/>
          <w:szCs w:val="24"/>
        </w:rPr>
        <w:t xml:space="preserve">manage </w:t>
      </w:r>
      <w:r w:rsidR="005204A6" w:rsidRPr="002B2821">
        <w:rPr>
          <w:rFonts w:asciiTheme="minorHAnsi" w:hAnsiTheme="minorHAnsi" w:cs="Arial"/>
          <w:color w:val="000000" w:themeColor="text1"/>
          <w:sz w:val="24"/>
          <w:szCs w:val="24"/>
        </w:rPr>
        <w:t>their financial affairs (as detailed at note 5);</w:t>
      </w:r>
      <w:r w:rsidR="002420DB" w:rsidRPr="002B2821">
        <w:rPr>
          <w:rFonts w:asciiTheme="minorHAnsi" w:hAnsiTheme="minorHAnsi" w:cs="Arial"/>
          <w:color w:val="000000" w:themeColor="text1"/>
          <w:sz w:val="24"/>
          <w:szCs w:val="24"/>
        </w:rPr>
        <w:t xml:space="preserve"> </w:t>
      </w:r>
      <w:r w:rsidR="005204A6" w:rsidRPr="002B2821">
        <w:rPr>
          <w:rFonts w:asciiTheme="minorHAnsi" w:hAnsiTheme="minorHAnsi" w:cs="Arial"/>
          <w:color w:val="000000" w:themeColor="text1"/>
          <w:sz w:val="24"/>
          <w:szCs w:val="24"/>
        </w:rPr>
        <w:t>backdated grants allocated to beneficiaries</w:t>
      </w:r>
      <w:r w:rsidR="00FE1337" w:rsidRPr="002B2821">
        <w:rPr>
          <w:rFonts w:asciiTheme="minorHAnsi" w:hAnsiTheme="minorHAnsi" w:cs="Arial"/>
          <w:color w:val="000000" w:themeColor="text1"/>
          <w:sz w:val="24"/>
          <w:szCs w:val="24"/>
        </w:rPr>
        <w:t>;</w:t>
      </w:r>
      <w:r w:rsidR="002420DB" w:rsidRPr="002B2821">
        <w:rPr>
          <w:rFonts w:asciiTheme="minorHAnsi" w:hAnsiTheme="minorHAnsi" w:cs="Arial"/>
          <w:color w:val="000000" w:themeColor="text1"/>
          <w:sz w:val="24"/>
          <w:szCs w:val="24"/>
        </w:rPr>
        <w:t xml:space="preserve"> </w:t>
      </w:r>
      <w:r w:rsidR="00627E1F" w:rsidRPr="002B2821">
        <w:rPr>
          <w:rFonts w:asciiTheme="minorHAnsi" w:hAnsiTheme="minorHAnsi" w:cs="Arial"/>
          <w:color w:val="000000" w:themeColor="text1"/>
          <w:sz w:val="24"/>
          <w:szCs w:val="24"/>
        </w:rPr>
        <w:t xml:space="preserve">and </w:t>
      </w:r>
      <w:r w:rsidR="00FE1337" w:rsidRPr="002B2821">
        <w:rPr>
          <w:rFonts w:asciiTheme="minorHAnsi" w:hAnsiTheme="minorHAnsi" w:cs="Arial"/>
          <w:color w:val="000000" w:themeColor="text1"/>
          <w:sz w:val="24"/>
          <w:szCs w:val="24"/>
        </w:rPr>
        <w:t>the remaining balances of grant funds allocated prior to the enactment of Statutory Instrument 2004/1819.</w:t>
      </w:r>
    </w:p>
    <w:p w14:paraId="70436DC5" w14:textId="77777777" w:rsidR="00450C97" w:rsidRPr="002B2821" w:rsidRDefault="00FE1337" w:rsidP="00E540A0">
      <w:pPr>
        <w:pStyle w:val="BodyText"/>
        <w:spacing w:after="180" w:line="240" w:lineRule="auto"/>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 xml:space="preserve">Beneficiary nominee accounts include the grant funds to which a beneficiary has absolute entitlement and which have not been requested by beneficiaries at the </w:t>
      </w:r>
      <w:r w:rsidR="003D12FA" w:rsidRPr="002B2821">
        <w:rPr>
          <w:rFonts w:asciiTheme="minorHAnsi" w:hAnsiTheme="minorHAnsi" w:cs="Arial"/>
          <w:color w:val="000000" w:themeColor="text1"/>
          <w:sz w:val="24"/>
          <w:szCs w:val="24"/>
        </w:rPr>
        <w:t>year-end</w:t>
      </w:r>
      <w:r w:rsidRPr="002B2821">
        <w:rPr>
          <w:rFonts w:asciiTheme="minorHAnsi" w:hAnsiTheme="minorHAnsi" w:cs="Arial"/>
          <w:color w:val="000000" w:themeColor="text1"/>
          <w:sz w:val="24"/>
          <w:szCs w:val="24"/>
        </w:rPr>
        <w:t xml:space="preserve"> (as detailed in note 5).</w:t>
      </w:r>
      <w:r w:rsidRPr="002B2821">
        <w:rPr>
          <w:rFonts w:asciiTheme="minorHAnsi" w:hAnsiTheme="minorHAnsi" w:cs="Arial"/>
          <w:color w:val="000000" w:themeColor="text1"/>
          <w:sz w:val="24"/>
          <w:szCs w:val="24"/>
        </w:rPr>
        <w:br/>
      </w:r>
      <w:r w:rsidRPr="002B2821">
        <w:rPr>
          <w:rFonts w:asciiTheme="minorHAnsi" w:hAnsiTheme="minorHAnsi" w:cs="Arial"/>
          <w:color w:val="000000" w:themeColor="text1"/>
          <w:sz w:val="24"/>
          <w:szCs w:val="24"/>
        </w:rPr>
        <w:br/>
        <w:t>Beneficiary Health Grant accounts include the Health Grant funding made available, but not requested by, or applied for beneficiaries (as detailed in note 5).</w:t>
      </w:r>
    </w:p>
    <w:p w14:paraId="05FE3D30" w14:textId="13C169A7" w:rsidR="00AB2976" w:rsidRPr="002B2821" w:rsidRDefault="00AB2976" w:rsidP="00E540A0">
      <w:pPr>
        <w:pStyle w:val="BodyText"/>
        <w:spacing w:after="180" w:line="240" w:lineRule="auto"/>
        <w:rPr>
          <w:rFonts w:asciiTheme="minorHAnsi" w:hAnsiTheme="minorHAnsi" w:cs="Arial"/>
          <w:color w:val="000000" w:themeColor="text1"/>
          <w:sz w:val="24"/>
          <w:szCs w:val="24"/>
        </w:rPr>
      </w:pPr>
      <w:r w:rsidRPr="002B2821">
        <w:rPr>
          <w:rFonts w:asciiTheme="minorHAnsi" w:hAnsiTheme="minorHAnsi" w:cs="Arial"/>
          <w:color w:val="000000" w:themeColor="text1"/>
          <w:sz w:val="24"/>
          <w:szCs w:val="24"/>
        </w:rPr>
        <w:t xml:space="preserve">During the </w:t>
      </w:r>
      <w:r w:rsidR="004E3103" w:rsidRPr="002B2821">
        <w:rPr>
          <w:rFonts w:asciiTheme="minorHAnsi" w:hAnsiTheme="minorHAnsi" w:cs="Arial"/>
          <w:color w:val="000000" w:themeColor="text1"/>
          <w:sz w:val="24"/>
          <w:szCs w:val="24"/>
        </w:rPr>
        <w:t>p</w:t>
      </w:r>
      <w:r w:rsidR="00967F30" w:rsidRPr="002B2821">
        <w:rPr>
          <w:rFonts w:asciiTheme="minorHAnsi" w:hAnsiTheme="minorHAnsi" w:cs="Arial"/>
          <w:color w:val="000000" w:themeColor="text1"/>
          <w:sz w:val="24"/>
          <w:szCs w:val="24"/>
        </w:rPr>
        <w:t xml:space="preserve">revious </w:t>
      </w:r>
      <w:r w:rsidRPr="002B2821">
        <w:rPr>
          <w:rFonts w:asciiTheme="minorHAnsi" w:hAnsiTheme="minorHAnsi" w:cs="Arial"/>
          <w:color w:val="000000" w:themeColor="text1"/>
          <w:sz w:val="24"/>
          <w:szCs w:val="24"/>
        </w:rPr>
        <w:t xml:space="preserve">year a one off Capital/Health Payment (CHP) </w:t>
      </w:r>
      <w:r w:rsidR="006C0EE7" w:rsidRPr="002B2821">
        <w:rPr>
          <w:rFonts w:asciiTheme="minorHAnsi" w:hAnsiTheme="minorHAnsi" w:cs="Arial"/>
          <w:color w:val="000000" w:themeColor="text1"/>
          <w:sz w:val="24"/>
          <w:szCs w:val="24"/>
        </w:rPr>
        <w:t xml:space="preserve">to meet the changing health and wellbeing needs of the beneficiaries was agreed </w:t>
      </w:r>
      <w:r w:rsidR="00147633" w:rsidRPr="002B2821">
        <w:rPr>
          <w:rFonts w:asciiTheme="minorHAnsi" w:hAnsiTheme="minorHAnsi" w:cs="Arial"/>
          <w:color w:val="000000" w:themeColor="text1"/>
          <w:sz w:val="24"/>
          <w:szCs w:val="24"/>
        </w:rPr>
        <w:t>and paid by Diageo</w:t>
      </w:r>
      <w:r w:rsidR="00531E34">
        <w:rPr>
          <w:rFonts w:asciiTheme="minorHAnsi" w:hAnsiTheme="minorHAnsi" w:cs="Arial"/>
          <w:color w:val="000000" w:themeColor="text1"/>
          <w:sz w:val="24"/>
          <w:szCs w:val="24"/>
        </w:rPr>
        <w:t xml:space="preserve"> plc</w:t>
      </w:r>
      <w:r w:rsidR="00147633" w:rsidRPr="002B2821">
        <w:rPr>
          <w:rFonts w:asciiTheme="minorHAnsi" w:hAnsiTheme="minorHAnsi" w:cs="Arial"/>
          <w:color w:val="000000" w:themeColor="text1"/>
          <w:sz w:val="24"/>
          <w:szCs w:val="24"/>
        </w:rPr>
        <w:t>.</w:t>
      </w:r>
    </w:p>
    <w:p w14:paraId="06AAB435" w14:textId="77777777" w:rsidR="00F11312" w:rsidRPr="002B2821" w:rsidRDefault="00F11312" w:rsidP="00D94BB1">
      <w:pPr>
        <w:pStyle w:val="BodyText"/>
        <w:spacing w:after="12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t>12    Taxation</w:t>
      </w:r>
    </w:p>
    <w:p w14:paraId="5DCFFE17" w14:textId="77777777" w:rsidR="00F11312" w:rsidRDefault="00F11312" w:rsidP="00E540A0">
      <w:pPr>
        <w:spacing w:after="180" w:line="240" w:lineRule="auto"/>
        <w:rPr>
          <w:rFonts w:asciiTheme="minorHAnsi" w:hAnsiTheme="minorHAnsi" w:cs="Arial"/>
          <w:sz w:val="24"/>
          <w:szCs w:val="24"/>
        </w:rPr>
      </w:pPr>
      <w:r w:rsidRPr="002B2821">
        <w:rPr>
          <w:rFonts w:asciiTheme="minorHAnsi" w:hAnsiTheme="minorHAnsi" w:cs="Arial"/>
          <w:sz w:val="24"/>
          <w:szCs w:val="24"/>
        </w:rPr>
        <w:t>The Trust is a registered charity, and as such is entitled to certain tax exemptions on income and profits from investments, and surpluses on any trading activities carried on in furtherance of the charity's primary objectives, if these profits and surpluses are applied solely for charitable purposes.</w:t>
      </w:r>
    </w:p>
    <w:p w14:paraId="0F5391F9" w14:textId="77777777" w:rsidR="00F11312" w:rsidRPr="002B2821" w:rsidRDefault="00F11312" w:rsidP="00E540A0">
      <w:pPr>
        <w:spacing w:after="180" w:line="240" w:lineRule="auto"/>
        <w:rPr>
          <w:rFonts w:asciiTheme="minorHAnsi" w:hAnsiTheme="minorHAnsi" w:cs="Arial"/>
          <w:sz w:val="24"/>
          <w:szCs w:val="24"/>
        </w:rPr>
      </w:pPr>
      <w:r>
        <w:rPr>
          <w:rFonts w:asciiTheme="minorHAnsi" w:hAnsiTheme="minorHAnsi" w:cs="Arial"/>
          <w:sz w:val="24"/>
          <w:szCs w:val="24"/>
        </w:rPr>
        <w:t>During the current and prior years, all distributions to beneficiaries were paid under the terms of Statutory Instrument 2004 No 1819, which allows distributions from the Trust to be paid free of income tax, and therefore no income tax liability arose.</w:t>
      </w:r>
    </w:p>
    <w:p w14:paraId="057DFB8F" w14:textId="77777777" w:rsidR="00450C97" w:rsidRPr="002B2821" w:rsidRDefault="00450C97" w:rsidP="00E540A0">
      <w:pPr>
        <w:pStyle w:val="BodyText"/>
        <w:spacing w:after="180" w:line="240" w:lineRule="auto"/>
        <w:rPr>
          <w:rFonts w:asciiTheme="minorHAnsi" w:hAnsiTheme="minorHAnsi" w:cs="Arial"/>
          <w:color w:val="000000" w:themeColor="text1"/>
          <w:sz w:val="24"/>
          <w:szCs w:val="24"/>
        </w:rPr>
      </w:pPr>
    </w:p>
    <w:p w14:paraId="2FC9D8AD" w14:textId="77777777" w:rsidR="00D94BB1" w:rsidRDefault="00D94BB1" w:rsidP="00FE1337">
      <w:pPr>
        <w:pStyle w:val="BodyText"/>
        <w:spacing w:after="0" w:line="240" w:lineRule="auto"/>
        <w:rPr>
          <w:rFonts w:asciiTheme="minorHAnsi" w:hAnsiTheme="minorHAnsi" w:cs="Arial"/>
          <w:b/>
          <w:color w:val="442359"/>
          <w:sz w:val="24"/>
          <w:szCs w:val="24"/>
        </w:rPr>
      </w:pPr>
    </w:p>
    <w:p w14:paraId="4957EF4F" w14:textId="5DA3F41F" w:rsidR="00FE1337" w:rsidRPr="002B2821" w:rsidRDefault="00FE1337" w:rsidP="00FE1337">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w:t>
      </w:r>
      <w:r w:rsidR="00684EC1" w:rsidRPr="002B2821">
        <w:rPr>
          <w:rFonts w:asciiTheme="minorHAnsi" w:hAnsiTheme="minorHAnsi" w:cs="Arial"/>
          <w:b/>
          <w:color w:val="442359"/>
          <w:sz w:val="24"/>
          <w:szCs w:val="24"/>
        </w:rPr>
        <w:t>8</w:t>
      </w:r>
      <w:r w:rsidR="00B8020F" w:rsidRPr="002B2821">
        <w:rPr>
          <w:rFonts w:asciiTheme="minorHAnsi" w:hAnsiTheme="minorHAnsi" w:cs="Arial"/>
          <w:b/>
          <w:color w:val="442359"/>
          <w:sz w:val="24"/>
          <w:szCs w:val="24"/>
        </w:rPr>
        <w:t xml:space="preserve"> </w:t>
      </w:r>
      <w:r w:rsidRPr="002B2821">
        <w:rPr>
          <w:rFonts w:asciiTheme="minorHAnsi" w:hAnsiTheme="minorHAnsi" w:cs="Arial"/>
          <w:b/>
          <w:color w:val="442359"/>
          <w:sz w:val="24"/>
          <w:szCs w:val="24"/>
        </w:rPr>
        <w:t>(continued)</w:t>
      </w:r>
    </w:p>
    <w:p w14:paraId="4D848171" w14:textId="77777777" w:rsidR="00D45B11" w:rsidRPr="002B2821" w:rsidRDefault="00D45B11" w:rsidP="00D45B11">
      <w:pPr>
        <w:pStyle w:val="BodyText"/>
        <w:spacing w:after="0" w:line="240" w:lineRule="auto"/>
        <w:rPr>
          <w:rFonts w:asciiTheme="minorHAnsi" w:hAnsiTheme="minorHAnsi" w:cs="Arial"/>
          <w:b/>
          <w:color w:val="442359"/>
          <w:sz w:val="24"/>
          <w:szCs w:val="24"/>
        </w:rPr>
      </w:pPr>
    </w:p>
    <w:p w14:paraId="271B89E7" w14:textId="77777777" w:rsidR="00D45B11" w:rsidRPr="002B2821" w:rsidRDefault="00D45B11" w:rsidP="00D94BB1">
      <w:pPr>
        <w:pStyle w:val="BodyText"/>
        <w:spacing w:after="120"/>
        <w:rPr>
          <w:rFonts w:asciiTheme="minorHAnsi" w:hAnsiTheme="minorHAnsi" w:cs="Arial"/>
          <w:b/>
          <w:bCs/>
          <w:color w:val="442359"/>
          <w:sz w:val="24"/>
          <w:szCs w:val="24"/>
        </w:rPr>
      </w:pPr>
      <w:r w:rsidRPr="002B2821">
        <w:rPr>
          <w:rFonts w:asciiTheme="minorHAnsi" w:hAnsiTheme="minorHAnsi" w:cs="Arial"/>
          <w:b/>
          <w:bCs/>
          <w:color w:val="442359"/>
          <w:sz w:val="24"/>
          <w:szCs w:val="24"/>
        </w:rPr>
        <w:t>13    Pension obligations</w:t>
      </w:r>
    </w:p>
    <w:p w14:paraId="66862C45" w14:textId="77777777" w:rsidR="00D45B11" w:rsidRPr="002B2821" w:rsidRDefault="00D45B11" w:rsidP="00D94BB1">
      <w:pPr>
        <w:tabs>
          <w:tab w:val="left" w:pos="0"/>
          <w:tab w:val="left" w:pos="720"/>
          <w:tab w:val="decimal" w:pos="7182"/>
          <w:tab w:val="decimal" w:pos="8667"/>
        </w:tabs>
        <w:suppressAutoHyphens/>
        <w:spacing w:after="120" w:line="240" w:lineRule="auto"/>
        <w:rPr>
          <w:rFonts w:asciiTheme="minorHAnsi" w:hAnsiTheme="minorHAnsi" w:cs="Arial"/>
          <w:b/>
          <w:color w:val="442359"/>
          <w:kern w:val="2"/>
          <w:sz w:val="24"/>
          <w:szCs w:val="24"/>
        </w:rPr>
      </w:pPr>
      <w:r w:rsidRPr="002B2821">
        <w:rPr>
          <w:rFonts w:asciiTheme="minorHAnsi" w:hAnsiTheme="minorHAnsi" w:cs="Arial"/>
          <w:b/>
          <w:color w:val="442359"/>
          <w:kern w:val="2"/>
          <w:sz w:val="24"/>
          <w:szCs w:val="24"/>
        </w:rPr>
        <w:t>Defined contribution scheme</w:t>
      </w:r>
    </w:p>
    <w:p w14:paraId="4A507B3F" w14:textId="2673F93C" w:rsidR="00D45B11" w:rsidRPr="00531E34" w:rsidRDefault="00D45B11" w:rsidP="00D94BB1">
      <w:pPr>
        <w:spacing w:after="180" w:line="240" w:lineRule="auto"/>
        <w:rPr>
          <w:rFonts w:asciiTheme="minorHAnsi" w:hAnsiTheme="minorHAnsi" w:cs="Arial"/>
          <w:sz w:val="24"/>
          <w:szCs w:val="24"/>
        </w:rPr>
      </w:pPr>
      <w:r w:rsidRPr="00531E34">
        <w:rPr>
          <w:rFonts w:asciiTheme="minorHAnsi" w:hAnsiTheme="minorHAnsi" w:cs="Arial"/>
          <w:sz w:val="24"/>
          <w:szCs w:val="24"/>
        </w:rPr>
        <w:t xml:space="preserve">Permanent staff are eligible to receive a pension provision equivalent to 10% of gross salary under a defined contribution scheme. During the </w:t>
      </w:r>
      <w:r w:rsidR="00ED3206" w:rsidRPr="00531E34">
        <w:rPr>
          <w:rFonts w:asciiTheme="minorHAnsi" w:hAnsiTheme="minorHAnsi" w:cs="Arial"/>
          <w:sz w:val="24"/>
          <w:szCs w:val="24"/>
        </w:rPr>
        <w:t>year</w:t>
      </w:r>
      <w:r w:rsidRPr="00531E34">
        <w:rPr>
          <w:rFonts w:asciiTheme="minorHAnsi" w:hAnsiTheme="minorHAnsi" w:cs="Arial"/>
          <w:sz w:val="24"/>
          <w:szCs w:val="24"/>
        </w:rPr>
        <w:t xml:space="preserve"> employer contributions to this scheme amounted to £</w:t>
      </w:r>
      <w:r w:rsidR="00684EC1" w:rsidRPr="00531E34">
        <w:rPr>
          <w:rFonts w:asciiTheme="minorHAnsi" w:hAnsiTheme="minorHAnsi" w:cs="Arial"/>
          <w:sz w:val="24"/>
          <w:szCs w:val="24"/>
        </w:rPr>
        <w:t>5</w:t>
      </w:r>
      <w:r w:rsidR="00AB2976" w:rsidRPr="00531E34">
        <w:rPr>
          <w:rFonts w:asciiTheme="minorHAnsi" w:hAnsiTheme="minorHAnsi" w:cs="Arial"/>
          <w:sz w:val="24"/>
          <w:szCs w:val="24"/>
        </w:rPr>
        <w:t>7</w:t>
      </w:r>
      <w:r w:rsidRPr="00531E34">
        <w:rPr>
          <w:rFonts w:asciiTheme="minorHAnsi" w:hAnsiTheme="minorHAnsi" w:cs="Arial"/>
          <w:sz w:val="24"/>
          <w:szCs w:val="24"/>
        </w:rPr>
        <w:t>,000 (201</w:t>
      </w:r>
      <w:r w:rsidR="004E3103" w:rsidRPr="00531E34">
        <w:rPr>
          <w:rFonts w:asciiTheme="minorHAnsi" w:hAnsiTheme="minorHAnsi" w:cs="Arial"/>
          <w:sz w:val="24"/>
          <w:szCs w:val="24"/>
        </w:rPr>
        <w:t>7</w:t>
      </w:r>
      <w:r w:rsidRPr="00531E34">
        <w:rPr>
          <w:rFonts w:asciiTheme="minorHAnsi" w:hAnsiTheme="minorHAnsi" w:cs="Arial"/>
          <w:sz w:val="24"/>
          <w:szCs w:val="24"/>
        </w:rPr>
        <w:t>: £</w:t>
      </w:r>
      <w:r w:rsidR="004E3103" w:rsidRPr="00531E34">
        <w:rPr>
          <w:rFonts w:asciiTheme="minorHAnsi" w:hAnsiTheme="minorHAnsi" w:cs="Arial"/>
          <w:sz w:val="24"/>
          <w:szCs w:val="24"/>
        </w:rPr>
        <w:t>47</w:t>
      </w:r>
      <w:r w:rsidRPr="00531E34">
        <w:rPr>
          <w:rFonts w:asciiTheme="minorHAnsi" w:hAnsiTheme="minorHAnsi" w:cs="Arial"/>
          <w:sz w:val="24"/>
          <w:szCs w:val="24"/>
        </w:rPr>
        <w:t xml:space="preserve">,000). </w:t>
      </w:r>
    </w:p>
    <w:p w14:paraId="0C950EC9" w14:textId="7A041C7B" w:rsidR="00D45B11" w:rsidRPr="002B2821" w:rsidRDefault="00D45B11" w:rsidP="00D94BB1">
      <w:pPr>
        <w:spacing w:after="180" w:line="240" w:lineRule="auto"/>
        <w:rPr>
          <w:rFonts w:asciiTheme="minorHAnsi" w:hAnsiTheme="minorHAnsi" w:cs="Arial"/>
          <w:kern w:val="2"/>
          <w:sz w:val="24"/>
          <w:szCs w:val="24"/>
        </w:rPr>
      </w:pPr>
      <w:r w:rsidRPr="00531E34">
        <w:rPr>
          <w:rFonts w:asciiTheme="minorHAnsi" w:hAnsiTheme="minorHAnsi" w:cs="Arial"/>
          <w:sz w:val="24"/>
          <w:szCs w:val="24"/>
        </w:rPr>
        <w:t>At the end of the year other creditors and accruals included £</w:t>
      </w:r>
      <w:r w:rsidR="00AB2976" w:rsidRPr="00531E34">
        <w:rPr>
          <w:rFonts w:asciiTheme="minorHAnsi" w:hAnsiTheme="minorHAnsi" w:cs="Arial"/>
          <w:sz w:val="24"/>
          <w:szCs w:val="24"/>
        </w:rPr>
        <w:t>5,</w:t>
      </w:r>
      <w:r w:rsidR="00684EC1" w:rsidRPr="00531E34">
        <w:rPr>
          <w:rFonts w:asciiTheme="minorHAnsi" w:hAnsiTheme="minorHAnsi" w:cs="Arial"/>
          <w:sz w:val="24"/>
          <w:szCs w:val="24"/>
        </w:rPr>
        <w:t>8</w:t>
      </w:r>
      <w:r w:rsidR="00AB2976" w:rsidRPr="00531E34">
        <w:rPr>
          <w:rFonts w:asciiTheme="minorHAnsi" w:hAnsiTheme="minorHAnsi" w:cs="Arial"/>
          <w:sz w:val="24"/>
          <w:szCs w:val="24"/>
        </w:rPr>
        <w:t>00</w:t>
      </w:r>
      <w:r w:rsidRPr="00531E34">
        <w:rPr>
          <w:rFonts w:asciiTheme="minorHAnsi" w:hAnsiTheme="minorHAnsi" w:cs="Arial"/>
          <w:sz w:val="24"/>
          <w:szCs w:val="24"/>
        </w:rPr>
        <w:t xml:space="preserve"> (201</w:t>
      </w:r>
      <w:r w:rsidR="00684EC1" w:rsidRPr="00531E34">
        <w:rPr>
          <w:rFonts w:asciiTheme="minorHAnsi" w:hAnsiTheme="minorHAnsi" w:cs="Arial"/>
          <w:sz w:val="24"/>
          <w:szCs w:val="24"/>
        </w:rPr>
        <w:t>7</w:t>
      </w:r>
      <w:r w:rsidRPr="00531E34">
        <w:rPr>
          <w:rFonts w:asciiTheme="minorHAnsi" w:hAnsiTheme="minorHAnsi" w:cs="Arial"/>
          <w:sz w:val="24"/>
          <w:szCs w:val="24"/>
        </w:rPr>
        <w:t>: £</w:t>
      </w:r>
      <w:r w:rsidR="00684EC1" w:rsidRPr="00531E34">
        <w:rPr>
          <w:rFonts w:asciiTheme="minorHAnsi" w:hAnsiTheme="minorHAnsi" w:cs="Arial"/>
          <w:sz w:val="24"/>
          <w:szCs w:val="24"/>
        </w:rPr>
        <w:t>5,000</w:t>
      </w:r>
      <w:r w:rsidRPr="00531E34">
        <w:rPr>
          <w:rFonts w:asciiTheme="minorHAnsi" w:hAnsiTheme="minorHAnsi" w:cs="Arial"/>
          <w:sz w:val="24"/>
          <w:szCs w:val="24"/>
        </w:rPr>
        <w:t>) payable in respect of employer pension contributions</w:t>
      </w:r>
      <w:r w:rsidRPr="002B2821">
        <w:rPr>
          <w:rFonts w:asciiTheme="minorHAnsi" w:hAnsiTheme="minorHAnsi" w:cs="Arial"/>
          <w:kern w:val="2"/>
          <w:sz w:val="24"/>
          <w:szCs w:val="24"/>
        </w:rPr>
        <w:t xml:space="preserve">. </w:t>
      </w:r>
    </w:p>
    <w:p w14:paraId="323B2D31" w14:textId="77777777" w:rsidR="00BF517F" w:rsidRPr="002B2821" w:rsidRDefault="00B1587C" w:rsidP="00D94BB1">
      <w:pPr>
        <w:pStyle w:val="BodyText"/>
        <w:numPr>
          <w:ilvl w:val="0"/>
          <w:numId w:val="9"/>
        </w:numPr>
        <w:tabs>
          <w:tab w:val="clear" w:pos="930"/>
          <w:tab w:val="num" w:pos="-142"/>
        </w:tabs>
        <w:spacing w:after="120"/>
        <w:ind w:left="0" w:firstLine="0"/>
        <w:rPr>
          <w:rFonts w:asciiTheme="minorHAnsi" w:hAnsiTheme="minorHAnsi" w:cs="Arial"/>
          <w:b/>
          <w:bCs/>
          <w:color w:val="442359"/>
          <w:sz w:val="24"/>
          <w:szCs w:val="24"/>
        </w:rPr>
      </w:pPr>
      <w:r w:rsidRPr="002B2821">
        <w:rPr>
          <w:rFonts w:asciiTheme="minorHAnsi" w:hAnsiTheme="minorHAnsi" w:cs="Arial"/>
          <w:sz w:val="24"/>
          <w:szCs w:val="24"/>
        </w:rPr>
        <w:tab/>
      </w:r>
      <w:r w:rsidRPr="002B2821">
        <w:rPr>
          <w:rFonts w:asciiTheme="minorHAnsi" w:hAnsiTheme="minorHAnsi" w:cs="Arial"/>
          <w:sz w:val="24"/>
          <w:szCs w:val="24"/>
        </w:rPr>
        <w:tab/>
      </w:r>
      <w:r w:rsidR="005940B8" w:rsidRPr="002B2821">
        <w:rPr>
          <w:rFonts w:asciiTheme="minorHAnsi" w:hAnsiTheme="minorHAnsi" w:cs="Arial"/>
          <w:color w:val="442359"/>
          <w:sz w:val="24"/>
          <w:szCs w:val="24"/>
        </w:rPr>
        <w:t xml:space="preserve">    </w:t>
      </w:r>
      <w:r w:rsidR="00BF517F" w:rsidRPr="002B2821">
        <w:rPr>
          <w:rFonts w:asciiTheme="minorHAnsi" w:hAnsiTheme="minorHAnsi" w:cs="Arial"/>
          <w:b/>
          <w:color w:val="442359"/>
          <w:sz w:val="24"/>
          <w:szCs w:val="24"/>
        </w:rPr>
        <w:t>Debtors</w:t>
      </w:r>
      <w:r w:rsidR="00BF517F" w:rsidRPr="002B2821">
        <w:rPr>
          <w:rFonts w:asciiTheme="minorHAnsi" w:hAnsiTheme="minorHAnsi" w:cs="Arial"/>
          <w:b/>
          <w:bCs/>
          <w:color w:val="442359"/>
          <w:sz w:val="24"/>
          <w:szCs w:val="24"/>
        </w:rPr>
        <w:t xml:space="preserve"> </w:t>
      </w:r>
    </w:p>
    <w:tbl>
      <w:tblPr>
        <w:tblpPr w:leftFromText="180" w:rightFromText="180" w:vertAnchor="text" w:tblpY="1"/>
        <w:tblOverlap w:val="never"/>
        <w:tblW w:w="7513" w:type="dxa"/>
        <w:tblLayout w:type="fixed"/>
        <w:tblLook w:val="0000" w:firstRow="0" w:lastRow="0" w:firstColumn="0" w:lastColumn="0" w:noHBand="0" w:noVBand="0"/>
      </w:tblPr>
      <w:tblGrid>
        <w:gridCol w:w="4395"/>
        <w:gridCol w:w="1701"/>
        <w:gridCol w:w="1417"/>
      </w:tblGrid>
      <w:tr w:rsidR="007036B3" w:rsidRPr="002B2821" w14:paraId="2012FF98" w14:textId="77777777" w:rsidTr="003B796C">
        <w:trPr>
          <w:trHeight w:hRule="exact" w:val="856"/>
          <w:tblHeader/>
        </w:trPr>
        <w:tc>
          <w:tcPr>
            <w:tcW w:w="4395" w:type="dxa"/>
          </w:tcPr>
          <w:p w14:paraId="23417536" w14:textId="77777777" w:rsidR="007036B3" w:rsidRPr="002B2821" w:rsidRDefault="007036B3" w:rsidP="00BF517F">
            <w:pPr>
              <w:pStyle w:val="Caption"/>
              <w:spacing w:line="240" w:lineRule="auto"/>
              <w:rPr>
                <w:rFonts w:asciiTheme="minorHAnsi" w:hAnsiTheme="minorHAnsi" w:cs="Arial"/>
                <w:color w:val="442359"/>
                <w:szCs w:val="24"/>
              </w:rPr>
            </w:pPr>
          </w:p>
        </w:tc>
        <w:tc>
          <w:tcPr>
            <w:tcW w:w="1701" w:type="dxa"/>
          </w:tcPr>
          <w:p w14:paraId="213A6C3D" w14:textId="4D4B0939" w:rsidR="007036B3" w:rsidRPr="002B2821" w:rsidRDefault="007036B3" w:rsidP="0080049F">
            <w:pPr>
              <w:pStyle w:val="TableColumnHeader"/>
              <w:spacing w:before="0"/>
              <w:ind w:left="-79"/>
              <w:rPr>
                <w:rFonts w:asciiTheme="minorHAnsi" w:hAnsiTheme="minorHAnsi" w:cs="Arial"/>
                <w:color w:val="442359"/>
                <w:sz w:val="24"/>
                <w:szCs w:val="24"/>
              </w:rPr>
            </w:pPr>
            <w:r w:rsidRPr="002B2821">
              <w:rPr>
                <w:rFonts w:asciiTheme="minorHAnsi" w:hAnsiTheme="minorHAnsi" w:cs="Arial"/>
                <w:color w:val="442359"/>
                <w:sz w:val="24"/>
                <w:szCs w:val="24"/>
              </w:rPr>
              <w:t>Total funds</w:t>
            </w:r>
            <w:r w:rsidRPr="002B2821">
              <w:rPr>
                <w:rFonts w:asciiTheme="minorHAnsi" w:hAnsiTheme="minorHAnsi" w:cs="Arial"/>
                <w:color w:val="442359"/>
                <w:sz w:val="24"/>
                <w:szCs w:val="24"/>
              </w:rPr>
              <w:br/>
              <w:t>201</w:t>
            </w:r>
            <w:r w:rsidR="00684EC1" w:rsidRPr="002B2821">
              <w:rPr>
                <w:rFonts w:asciiTheme="minorHAnsi" w:hAnsiTheme="minorHAnsi" w:cs="Arial"/>
                <w:color w:val="442359"/>
                <w:sz w:val="24"/>
                <w:szCs w:val="24"/>
              </w:rPr>
              <w:t>8</w:t>
            </w:r>
          </w:p>
          <w:p w14:paraId="59572EE9" w14:textId="77777777" w:rsidR="007036B3" w:rsidRPr="002B2821" w:rsidRDefault="007036B3" w:rsidP="0080049F">
            <w:pPr>
              <w:pStyle w:val="TableColumnHeader"/>
              <w:spacing w:before="0"/>
              <w:rPr>
                <w:rFonts w:asciiTheme="minorHAnsi" w:hAnsiTheme="minorHAnsi" w:cs="Arial"/>
                <w:color w:val="442359"/>
                <w:sz w:val="24"/>
                <w:szCs w:val="24"/>
              </w:rPr>
            </w:pPr>
            <w:r w:rsidRPr="002B2821">
              <w:rPr>
                <w:rFonts w:asciiTheme="minorHAnsi" w:hAnsiTheme="minorHAnsi" w:cs="Arial"/>
                <w:color w:val="442359"/>
                <w:sz w:val="24"/>
                <w:szCs w:val="24"/>
              </w:rPr>
              <w:t>£000s</w:t>
            </w:r>
          </w:p>
        </w:tc>
        <w:tc>
          <w:tcPr>
            <w:tcW w:w="1417" w:type="dxa"/>
          </w:tcPr>
          <w:p w14:paraId="00AF76D1" w14:textId="2D9ED127" w:rsidR="007036B3" w:rsidRPr="002B2821" w:rsidRDefault="007036B3" w:rsidP="0080049F">
            <w:pPr>
              <w:pStyle w:val="TableColumnHeader"/>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 xml:space="preserve">Total funds </w:t>
            </w:r>
            <w:r w:rsidRPr="002B2821">
              <w:rPr>
                <w:rFonts w:asciiTheme="minorHAnsi" w:hAnsiTheme="minorHAnsi" w:cs="Arial"/>
                <w:b w:val="0"/>
                <w:color w:val="442359"/>
                <w:sz w:val="24"/>
                <w:szCs w:val="24"/>
              </w:rPr>
              <w:br/>
              <w:t>201</w:t>
            </w:r>
            <w:r w:rsidR="00684EC1" w:rsidRPr="002B2821">
              <w:rPr>
                <w:rFonts w:asciiTheme="minorHAnsi" w:hAnsiTheme="minorHAnsi" w:cs="Arial"/>
                <w:b w:val="0"/>
                <w:color w:val="442359"/>
                <w:sz w:val="24"/>
                <w:szCs w:val="24"/>
              </w:rPr>
              <w:t>7</w:t>
            </w:r>
          </w:p>
          <w:p w14:paraId="666DDF0E" w14:textId="77777777" w:rsidR="007036B3" w:rsidRPr="002B2821" w:rsidRDefault="007036B3" w:rsidP="0080049F">
            <w:pPr>
              <w:pStyle w:val="TableColumnHeader"/>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£000s</w:t>
            </w:r>
          </w:p>
        </w:tc>
      </w:tr>
      <w:tr w:rsidR="001E4727" w:rsidRPr="002B2821" w14:paraId="2C89E5D0" w14:textId="77777777" w:rsidTr="00FD5C19">
        <w:trPr>
          <w:trHeight w:hRule="exact" w:val="441"/>
        </w:trPr>
        <w:tc>
          <w:tcPr>
            <w:tcW w:w="4395" w:type="dxa"/>
            <w:vAlign w:val="center"/>
          </w:tcPr>
          <w:p w14:paraId="13E4318E" w14:textId="0AC586E2" w:rsidR="001E4727" w:rsidRPr="002B2821" w:rsidRDefault="001E4727" w:rsidP="0082460C">
            <w:pPr>
              <w:pStyle w:val="TableRowHeader"/>
              <w:spacing w:before="0" w:after="0" w:line="240" w:lineRule="auto"/>
              <w:ind w:left="0"/>
              <w:rPr>
                <w:rFonts w:asciiTheme="minorHAnsi" w:hAnsiTheme="minorHAnsi" w:cs="Arial"/>
                <w:spacing w:val="-2"/>
                <w:kern w:val="2"/>
                <w:sz w:val="24"/>
                <w:szCs w:val="24"/>
              </w:rPr>
            </w:pPr>
            <w:r w:rsidRPr="002B2821">
              <w:rPr>
                <w:rFonts w:asciiTheme="minorHAnsi" w:hAnsiTheme="minorHAnsi" w:cs="Arial"/>
                <w:spacing w:val="-2"/>
                <w:kern w:val="2"/>
                <w:sz w:val="24"/>
                <w:szCs w:val="24"/>
              </w:rPr>
              <w:t>Advance</w:t>
            </w:r>
            <w:r w:rsidR="00531E34">
              <w:rPr>
                <w:rFonts w:asciiTheme="minorHAnsi" w:hAnsiTheme="minorHAnsi" w:cs="Arial"/>
                <w:spacing w:val="-2"/>
                <w:kern w:val="2"/>
                <w:sz w:val="24"/>
                <w:szCs w:val="24"/>
              </w:rPr>
              <w:t>s</w:t>
            </w:r>
            <w:r w:rsidR="00EF1836" w:rsidRPr="002B2821">
              <w:rPr>
                <w:rFonts w:asciiTheme="minorHAnsi" w:hAnsiTheme="minorHAnsi" w:cs="Arial"/>
                <w:spacing w:val="-2"/>
                <w:kern w:val="2"/>
                <w:sz w:val="24"/>
                <w:szCs w:val="24"/>
              </w:rPr>
              <w:t xml:space="preserve"> of Grants</w:t>
            </w:r>
          </w:p>
        </w:tc>
        <w:tc>
          <w:tcPr>
            <w:tcW w:w="1701" w:type="dxa"/>
            <w:shd w:val="clear" w:color="auto" w:fill="auto"/>
            <w:vAlign w:val="center"/>
          </w:tcPr>
          <w:p w14:paraId="344DC511" w14:textId="77777777" w:rsidR="001E4727" w:rsidRPr="002B2821" w:rsidRDefault="001E4727" w:rsidP="00C32050">
            <w:pPr>
              <w:pStyle w:val="TableFigure"/>
              <w:tabs>
                <w:tab w:val="clear" w:pos="851"/>
                <w:tab w:val="decimal" w:pos="1031"/>
              </w:tabs>
              <w:spacing w:before="0"/>
              <w:ind w:right="-250"/>
              <w:jc w:val="center"/>
              <w:rPr>
                <w:rFonts w:asciiTheme="minorHAnsi" w:hAnsiTheme="minorHAnsi" w:cs="Arial"/>
                <w:sz w:val="24"/>
                <w:szCs w:val="24"/>
              </w:rPr>
            </w:pPr>
            <w:r w:rsidRPr="002B2821">
              <w:rPr>
                <w:rFonts w:asciiTheme="minorHAnsi" w:hAnsiTheme="minorHAnsi" w:cs="Arial"/>
                <w:sz w:val="24"/>
                <w:szCs w:val="24"/>
              </w:rPr>
              <w:t xml:space="preserve">  </w:t>
            </w:r>
          </w:p>
        </w:tc>
        <w:tc>
          <w:tcPr>
            <w:tcW w:w="1417" w:type="dxa"/>
            <w:vAlign w:val="center"/>
          </w:tcPr>
          <w:p w14:paraId="268DE4A9" w14:textId="77777777" w:rsidR="001E4727" w:rsidRPr="002B2821" w:rsidRDefault="001E4727" w:rsidP="001E4727">
            <w:pPr>
              <w:pStyle w:val="TableFigure"/>
              <w:tabs>
                <w:tab w:val="clear" w:pos="851"/>
                <w:tab w:val="decimal" w:pos="1031"/>
              </w:tabs>
              <w:spacing w:before="0"/>
              <w:jc w:val="center"/>
              <w:rPr>
                <w:rFonts w:asciiTheme="minorHAnsi" w:hAnsiTheme="minorHAnsi" w:cs="Arial"/>
                <w:b w:val="0"/>
                <w:sz w:val="24"/>
                <w:szCs w:val="24"/>
              </w:rPr>
            </w:pPr>
          </w:p>
        </w:tc>
      </w:tr>
      <w:tr w:rsidR="00B8020F" w:rsidRPr="002B2821" w14:paraId="6F0A8BA1" w14:textId="77777777" w:rsidTr="008F538C">
        <w:trPr>
          <w:trHeight w:hRule="exact" w:val="441"/>
        </w:trPr>
        <w:tc>
          <w:tcPr>
            <w:tcW w:w="4395" w:type="dxa"/>
            <w:vAlign w:val="center"/>
          </w:tcPr>
          <w:p w14:paraId="41421BCD" w14:textId="77777777" w:rsidR="00B8020F" w:rsidRPr="002B2821" w:rsidRDefault="00B8020F" w:rsidP="00B8020F">
            <w:pPr>
              <w:pStyle w:val="TableRowHeader"/>
              <w:spacing w:before="0" w:after="0" w:line="240" w:lineRule="auto"/>
              <w:ind w:left="0"/>
              <w:rPr>
                <w:rFonts w:asciiTheme="minorHAnsi" w:hAnsiTheme="minorHAnsi" w:cs="Arial"/>
                <w:spacing w:val="-2"/>
                <w:kern w:val="2"/>
                <w:sz w:val="24"/>
                <w:szCs w:val="24"/>
              </w:rPr>
            </w:pPr>
            <w:r w:rsidRPr="002B2821">
              <w:rPr>
                <w:rFonts w:asciiTheme="minorHAnsi" w:hAnsiTheme="minorHAnsi" w:cs="Arial"/>
                <w:spacing w:val="-2"/>
                <w:kern w:val="2"/>
                <w:sz w:val="24"/>
                <w:szCs w:val="24"/>
              </w:rPr>
              <w:t xml:space="preserve">  amounts falling due within one year</w:t>
            </w:r>
          </w:p>
        </w:tc>
        <w:tc>
          <w:tcPr>
            <w:tcW w:w="1701" w:type="dxa"/>
            <w:shd w:val="clear" w:color="auto" w:fill="auto"/>
            <w:vAlign w:val="center"/>
          </w:tcPr>
          <w:p w14:paraId="20316D01" w14:textId="25B1734B" w:rsidR="00B8020F" w:rsidRPr="002B2821" w:rsidRDefault="00990365" w:rsidP="00684EC1">
            <w:pPr>
              <w:pStyle w:val="TableFigure"/>
              <w:tabs>
                <w:tab w:val="clear" w:pos="851"/>
                <w:tab w:val="decimal" w:pos="1031"/>
              </w:tabs>
              <w:spacing w:before="0"/>
              <w:ind w:right="-250"/>
              <w:jc w:val="center"/>
              <w:rPr>
                <w:rFonts w:asciiTheme="minorHAnsi" w:hAnsiTheme="minorHAnsi" w:cs="Arial"/>
                <w:sz w:val="24"/>
                <w:szCs w:val="24"/>
              </w:rPr>
            </w:pPr>
            <w:r w:rsidRPr="002B2821">
              <w:rPr>
                <w:rFonts w:asciiTheme="minorHAnsi" w:hAnsiTheme="minorHAnsi" w:cs="Arial"/>
                <w:sz w:val="24"/>
                <w:szCs w:val="24"/>
              </w:rPr>
              <w:t>72</w:t>
            </w:r>
            <w:r w:rsidR="00684EC1" w:rsidRPr="002B2821">
              <w:rPr>
                <w:rFonts w:asciiTheme="minorHAnsi" w:hAnsiTheme="minorHAnsi" w:cs="Arial"/>
                <w:sz w:val="24"/>
                <w:szCs w:val="24"/>
              </w:rPr>
              <w:t>1</w:t>
            </w:r>
          </w:p>
        </w:tc>
        <w:tc>
          <w:tcPr>
            <w:tcW w:w="1417" w:type="dxa"/>
            <w:shd w:val="clear" w:color="auto" w:fill="auto"/>
            <w:vAlign w:val="center"/>
          </w:tcPr>
          <w:p w14:paraId="232F7790" w14:textId="34632E04" w:rsidR="00B8020F" w:rsidRPr="002B2821" w:rsidRDefault="00684EC1" w:rsidP="00B8020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725</w:t>
            </w:r>
          </w:p>
        </w:tc>
      </w:tr>
      <w:tr w:rsidR="00B8020F" w:rsidRPr="002B2821" w14:paraId="3EEBB828" w14:textId="77777777" w:rsidTr="008F538C">
        <w:trPr>
          <w:trHeight w:hRule="exact" w:val="441"/>
        </w:trPr>
        <w:tc>
          <w:tcPr>
            <w:tcW w:w="4395" w:type="dxa"/>
            <w:vAlign w:val="center"/>
          </w:tcPr>
          <w:p w14:paraId="029B81CC" w14:textId="77777777" w:rsidR="00B8020F" w:rsidRPr="002B2821" w:rsidRDefault="00B8020F" w:rsidP="00B8020F">
            <w:pPr>
              <w:pStyle w:val="TableRowHeader"/>
              <w:spacing w:before="0" w:after="0" w:line="240" w:lineRule="auto"/>
              <w:ind w:left="0"/>
              <w:rPr>
                <w:rFonts w:asciiTheme="minorHAnsi" w:hAnsiTheme="minorHAnsi" w:cs="Arial"/>
                <w:spacing w:val="-2"/>
                <w:kern w:val="2"/>
                <w:sz w:val="24"/>
                <w:szCs w:val="24"/>
              </w:rPr>
            </w:pPr>
            <w:r w:rsidRPr="002B2821">
              <w:rPr>
                <w:rFonts w:asciiTheme="minorHAnsi" w:hAnsiTheme="minorHAnsi" w:cs="Arial"/>
                <w:spacing w:val="-2"/>
                <w:kern w:val="2"/>
                <w:sz w:val="24"/>
                <w:szCs w:val="24"/>
              </w:rPr>
              <w:t xml:space="preserve">  amounts falling due after one year</w:t>
            </w:r>
          </w:p>
        </w:tc>
        <w:tc>
          <w:tcPr>
            <w:tcW w:w="1701" w:type="dxa"/>
            <w:shd w:val="clear" w:color="auto" w:fill="auto"/>
            <w:vAlign w:val="center"/>
          </w:tcPr>
          <w:p w14:paraId="22CF2E93" w14:textId="1972B83A" w:rsidR="00B8020F" w:rsidRPr="002B2821" w:rsidRDefault="00990365" w:rsidP="00990365">
            <w:pPr>
              <w:pStyle w:val="TableFigure"/>
              <w:tabs>
                <w:tab w:val="clear" w:pos="851"/>
                <w:tab w:val="decimal" w:pos="1031"/>
              </w:tabs>
              <w:spacing w:before="0"/>
              <w:ind w:right="-250"/>
              <w:jc w:val="center"/>
              <w:rPr>
                <w:rFonts w:asciiTheme="minorHAnsi" w:hAnsiTheme="minorHAnsi" w:cs="Arial"/>
                <w:sz w:val="24"/>
                <w:szCs w:val="24"/>
              </w:rPr>
            </w:pPr>
            <w:r w:rsidRPr="002B2821">
              <w:rPr>
                <w:rFonts w:asciiTheme="minorHAnsi" w:hAnsiTheme="minorHAnsi" w:cs="Arial"/>
                <w:sz w:val="24"/>
                <w:szCs w:val="24"/>
              </w:rPr>
              <w:t>2,</w:t>
            </w:r>
            <w:r w:rsidR="00684EC1" w:rsidRPr="002B2821">
              <w:rPr>
                <w:rFonts w:asciiTheme="minorHAnsi" w:hAnsiTheme="minorHAnsi" w:cs="Arial"/>
                <w:sz w:val="24"/>
                <w:szCs w:val="24"/>
              </w:rPr>
              <w:t>967</w:t>
            </w:r>
          </w:p>
        </w:tc>
        <w:tc>
          <w:tcPr>
            <w:tcW w:w="1417" w:type="dxa"/>
            <w:shd w:val="clear" w:color="auto" w:fill="auto"/>
            <w:vAlign w:val="center"/>
          </w:tcPr>
          <w:p w14:paraId="013A917A" w14:textId="1B29D0B0" w:rsidR="00B8020F" w:rsidRPr="002B2821" w:rsidRDefault="00684EC1" w:rsidP="00B8020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2,813</w:t>
            </w:r>
          </w:p>
        </w:tc>
      </w:tr>
      <w:tr w:rsidR="00B8020F" w:rsidRPr="002B2821" w14:paraId="2607D11C" w14:textId="77777777" w:rsidTr="008F538C">
        <w:trPr>
          <w:trHeight w:hRule="exact" w:val="441"/>
        </w:trPr>
        <w:tc>
          <w:tcPr>
            <w:tcW w:w="4395" w:type="dxa"/>
            <w:vAlign w:val="center"/>
          </w:tcPr>
          <w:p w14:paraId="7404B145" w14:textId="77777777" w:rsidR="00B8020F" w:rsidRPr="002B2821" w:rsidRDefault="00B8020F" w:rsidP="00B8020F">
            <w:pPr>
              <w:pStyle w:val="TableRowHeader"/>
              <w:spacing w:before="0" w:after="0" w:line="240" w:lineRule="auto"/>
              <w:ind w:left="0"/>
              <w:rPr>
                <w:rFonts w:asciiTheme="minorHAnsi" w:hAnsiTheme="minorHAnsi" w:cs="Arial"/>
                <w:spacing w:val="-2"/>
                <w:kern w:val="2"/>
                <w:sz w:val="24"/>
                <w:szCs w:val="24"/>
              </w:rPr>
            </w:pPr>
            <w:r w:rsidRPr="002B2821">
              <w:rPr>
                <w:rFonts w:asciiTheme="minorHAnsi" w:hAnsiTheme="minorHAnsi" w:cs="Arial"/>
                <w:spacing w:val="-2"/>
                <w:kern w:val="2"/>
                <w:sz w:val="24"/>
                <w:szCs w:val="24"/>
              </w:rPr>
              <w:t>Prepayments and accrued income</w:t>
            </w:r>
          </w:p>
        </w:tc>
        <w:tc>
          <w:tcPr>
            <w:tcW w:w="1701" w:type="dxa"/>
            <w:shd w:val="clear" w:color="auto" w:fill="auto"/>
            <w:vAlign w:val="center"/>
          </w:tcPr>
          <w:p w14:paraId="73118818" w14:textId="42E7602C" w:rsidR="00B8020F" w:rsidRPr="002B2821" w:rsidRDefault="00684EC1" w:rsidP="00990365">
            <w:pPr>
              <w:pStyle w:val="TableFigure"/>
              <w:tabs>
                <w:tab w:val="clear" w:pos="851"/>
                <w:tab w:val="decimal" w:pos="1031"/>
              </w:tabs>
              <w:spacing w:before="0"/>
              <w:ind w:right="-250"/>
              <w:jc w:val="center"/>
              <w:rPr>
                <w:rFonts w:asciiTheme="minorHAnsi" w:hAnsiTheme="minorHAnsi" w:cs="Arial"/>
                <w:sz w:val="24"/>
                <w:szCs w:val="24"/>
              </w:rPr>
            </w:pPr>
            <w:r w:rsidRPr="002B2821">
              <w:rPr>
                <w:rFonts w:asciiTheme="minorHAnsi" w:hAnsiTheme="minorHAnsi" w:cs="Arial"/>
                <w:sz w:val="24"/>
                <w:szCs w:val="24"/>
              </w:rPr>
              <w:t>43</w:t>
            </w:r>
          </w:p>
        </w:tc>
        <w:tc>
          <w:tcPr>
            <w:tcW w:w="1417" w:type="dxa"/>
            <w:shd w:val="clear" w:color="auto" w:fill="auto"/>
            <w:vAlign w:val="center"/>
          </w:tcPr>
          <w:p w14:paraId="029EED72" w14:textId="29427723" w:rsidR="00B8020F" w:rsidRPr="002B2821" w:rsidRDefault="00684EC1" w:rsidP="00B8020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34</w:t>
            </w:r>
          </w:p>
        </w:tc>
      </w:tr>
      <w:tr w:rsidR="00B8020F" w:rsidRPr="002B2821" w14:paraId="58DAFF9E" w14:textId="77777777" w:rsidTr="008F538C">
        <w:trPr>
          <w:trHeight w:hRule="exact" w:val="400"/>
        </w:trPr>
        <w:tc>
          <w:tcPr>
            <w:tcW w:w="4395" w:type="dxa"/>
            <w:vAlign w:val="center"/>
          </w:tcPr>
          <w:p w14:paraId="14EDD679" w14:textId="77777777" w:rsidR="00B8020F" w:rsidRPr="002B2821" w:rsidRDefault="00B8020F" w:rsidP="00B8020F">
            <w:pPr>
              <w:pStyle w:val="TableRowHeader"/>
              <w:spacing w:before="0" w:after="0" w:line="240" w:lineRule="auto"/>
              <w:ind w:left="0"/>
              <w:rPr>
                <w:rFonts w:asciiTheme="minorHAnsi" w:hAnsiTheme="minorHAnsi" w:cs="Arial"/>
                <w:b/>
                <w:spacing w:val="-2"/>
                <w:kern w:val="2"/>
                <w:sz w:val="24"/>
                <w:szCs w:val="24"/>
              </w:rPr>
            </w:pPr>
            <w:r w:rsidRPr="002B2821">
              <w:rPr>
                <w:rFonts w:asciiTheme="minorHAnsi" w:hAnsiTheme="minorHAnsi" w:cs="Arial"/>
                <w:b/>
                <w:spacing w:val="-2"/>
                <w:kern w:val="2"/>
                <w:sz w:val="24"/>
                <w:szCs w:val="24"/>
              </w:rPr>
              <w:t>Total</w:t>
            </w:r>
          </w:p>
        </w:tc>
        <w:tc>
          <w:tcPr>
            <w:tcW w:w="1701" w:type="dxa"/>
            <w:tcBorders>
              <w:top w:val="single" w:sz="4" w:space="0" w:color="auto"/>
              <w:bottom w:val="single" w:sz="4" w:space="0" w:color="auto"/>
            </w:tcBorders>
            <w:shd w:val="clear" w:color="auto" w:fill="auto"/>
            <w:vAlign w:val="center"/>
          </w:tcPr>
          <w:p w14:paraId="0349AC63" w14:textId="067AB5A1" w:rsidR="00B8020F" w:rsidRPr="002B2821" w:rsidRDefault="00990365" w:rsidP="00990365">
            <w:pPr>
              <w:pStyle w:val="TableFigure"/>
              <w:tabs>
                <w:tab w:val="clear" w:pos="851"/>
                <w:tab w:val="decimal" w:pos="1031"/>
              </w:tabs>
              <w:spacing w:before="0"/>
              <w:ind w:right="-250"/>
              <w:jc w:val="center"/>
              <w:rPr>
                <w:rFonts w:asciiTheme="minorHAnsi" w:hAnsiTheme="minorHAnsi" w:cs="Arial"/>
                <w:sz w:val="24"/>
                <w:szCs w:val="24"/>
              </w:rPr>
            </w:pPr>
            <w:r w:rsidRPr="002B2821">
              <w:rPr>
                <w:rFonts w:asciiTheme="minorHAnsi" w:hAnsiTheme="minorHAnsi" w:cs="Arial"/>
                <w:sz w:val="24"/>
                <w:szCs w:val="24"/>
              </w:rPr>
              <w:t>3,</w:t>
            </w:r>
            <w:r w:rsidR="00684EC1" w:rsidRPr="002B2821">
              <w:rPr>
                <w:rFonts w:asciiTheme="minorHAnsi" w:hAnsiTheme="minorHAnsi" w:cs="Arial"/>
                <w:sz w:val="24"/>
                <w:szCs w:val="24"/>
              </w:rPr>
              <w:t>731</w:t>
            </w:r>
          </w:p>
        </w:tc>
        <w:tc>
          <w:tcPr>
            <w:tcW w:w="1417" w:type="dxa"/>
            <w:tcBorders>
              <w:top w:val="single" w:sz="4" w:space="0" w:color="auto"/>
              <w:bottom w:val="single" w:sz="4" w:space="0" w:color="auto"/>
            </w:tcBorders>
            <w:shd w:val="clear" w:color="auto" w:fill="auto"/>
            <w:vAlign w:val="center"/>
          </w:tcPr>
          <w:p w14:paraId="3C670FEE" w14:textId="5C80CC19" w:rsidR="00B8020F" w:rsidRPr="002B2821" w:rsidRDefault="00684EC1" w:rsidP="00B8020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3,572</w:t>
            </w:r>
          </w:p>
        </w:tc>
      </w:tr>
    </w:tbl>
    <w:p w14:paraId="507CB12E" w14:textId="77777777" w:rsidR="00F11312" w:rsidRDefault="00BF517F" w:rsidP="00D94BB1">
      <w:pPr>
        <w:spacing w:after="0" w:line="240" w:lineRule="auto"/>
      </w:pPr>
      <w:r w:rsidRPr="002B2821">
        <w:rPr>
          <w:spacing w:val="-3"/>
          <w:kern w:val="2"/>
        </w:rPr>
        <w:br w:type="textWrapping" w:clear="all"/>
      </w:r>
      <w:r w:rsidR="00B73A0A" w:rsidRPr="002B2821">
        <w:rPr>
          <w:spacing w:val="-3"/>
          <w:kern w:val="2"/>
        </w:rPr>
        <w:br/>
      </w:r>
      <w:r w:rsidR="00AD1AC4" w:rsidRPr="001825F2">
        <w:rPr>
          <w:rFonts w:asciiTheme="minorHAnsi" w:hAnsiTheme="minorHAnsi" w:cs="Arial"/>
          <w:sz w:val="24"/>
          <w:szCs w:val="24"/>
        </w:rPr>
        <w:t>As set out in note 5</w:t>
      </w:r>
      <w:r w:rsidR="0065488F" w:rsidRPr="001825F2">
        <w:rPr>
          <w:rFonts w:asciiTheme="minorHAnsi" w:hAnsiTheme="minorHAnsi" w:cs="Arial"/>
          <w:sz w:val="24"/>
          <w:szCs w:val="24"/>
        </w:rPr>
        <w:t xml:space="preserve">, the </w:t>
      </w:r>
      <w:r w:rsidR="006C792A" w:rsidRPr="001825F2">
        <w:rPr>
          <w:rFonts w:asciiTheme="minorHAnsi" w:hAnsiTheme="minorHAnsi" w:cs="Arial"/>
          <w:sz w:val="24"/>
          <w:szCs w:val="24"/>
        </w:rPr>
        <w:t>t</w:t>
      </w:r>
      <w:r w:rsidR="0065488F" w:rsidRPr="001825F2">
        <w:rPr>
          <w:rFonts w:asciiTheme="minorHAnsi" w:hAnsiTheme="minorHAnsi" w:cs="Arial"/>
          <w:sz w:val="24"/>
          <w:szCs w:val="24"/>
        </w:rPr>
        <w:t xml:space="preserve">rustees will consider requests for </w:t>
      </w:r>
      <w:r w:rsidR="00EF1836" w:rsidRPr="001825F2">
        <w:rPr>
          <w:rFonts w:asciiTheme="minorHAnsi" w:hAnsiTheme="minorHAnsi" w:cs="Arial"/>
          <w:sz w:val="24"/>
          <w:szCs w:val="24"/>
        </w:rPr>
        <w:t>M</w:t>
      </w:r>
      <w:r w:rsidR="0065488F" w:rsidRPr="001825F2">
        <w:rPr>
          <w:rFonts w:asciiTheme="minorHAnsi" w:hAnsiTheme="minorHAnsi" w:cs="Arial"/>
          <w:sz w:val="24"/>
          <w:szCs w:val="24"/>
        </w:rPr>
        <w:t xml:space="preserve">ajor </w:t>
      </w:r>
      <w:r w:rsidR="00EF1836" w:rsidRPr="001825F2">
        <w:rPr>
          <w:rFonts w:asciiTheme="minorHAnsi" w:hAnsiTheme="minorHAnsi" w:cs="Arial"/>
          <w:sz w:val="24"/>
          <w:szCs w:val="24"/>
        </w:rPr>
        <w:t>Advances</w:t>
      </w:r>
      <w:r w:rsidR="0065488F" w:rsidRPr="001825F2">
        <w:rPr>
          <w:rFonts w:asciiTheme="minorHAnsi" w:hAnsiTheme="minorHAnsi" w:cs="Arial"/>
          <w:sz w:val="24"/>
          <w:szCs w:val="24"/>
        </w:rPr>
        <w:t xml:space="preserve"> and </w:t>
      </w:r>
      <w:r w:rsidR="00EF1836" w:rsidRPr="001825F2">
        <w:rPr>
          <w:rFonts w:asciiTheme="minorHAnsi" w:hAnsiTheme="minorHAnsi" w:cs="Arial"/>
          <w:sz w:val="24"/>
          <w:szCs w:val="24"/>
        </w:rPr>
        <w:t>E</w:t>
      </w:r>
      <w:r w:rsidR="0065488F" w:rsidRPr="001825F2">
        <w:rPr>
          <w:rFonts w:asciiTheme="minorHAnsi" w:hAnsiTheme="minorHAnsi" w:cs="Arial"/>
          <w:sz w:val="24"/>
          <w:szCs w:val="24"/>
        </w:rPr>
        <w:t xml:space="preserve">mergency </w:t>
      </w:r>
      <w:r w:rsidR="00EF1836" w:rsidRPr="001825F2">
        <w:rPr>
          <w:rFonts w:asciiTheme="minorHAnsi" w:hAnsiTheme="minorHAnsi" w:cs="Arial"/>
          <w:sz w:val="24"/>
          <w:szCs w:val="24"/>
        </w:rPr>
        <w:t>Advances</w:t>
      </w:r>
      <w:r w:rsidR="0065488F" w:rsidRPr="001825F2">
        <w:rPr>
          <w:rFonts w:asciiTheme="minorHAnsi" w:hAnsiTheme="minorHAnsi" w:cs="Arial"/>
          <w:sz w:val="24"/>
          <w:szCs w:val="24"/>
        </w:rPr>
        <w:t xml:space="preserve">.  </w:t>
      </w:r>
      <w:r w:rsidR="00CB25C2" w:rsidRPr="001825F2">
        <w:rPr>
          <w:rFonts w:asciiTheme="minorHAnsi" w:hAnsiTheme="minorHAnsi" w:cs="Arial"/>
          <w:sz w:val="24"/>
          <w:szCs w:val="24"/>
        </w:rPr>
        <w:t>The A</w:t>
      </w:r>
      <w:r w:rsidR="0065488F" w:rsidRPr="001825F2">
        <w:rPr>
          <w:rFonts w:asciiTheme="minorHAnsi" w:hAnsiTheme="minorHAnsi" w:cs="Arial"/>
          <w:sz w:val="24"/>
          <w:szCs w:val="24"/>
        </w:rPr>
        <w:t>dvance</w:t>
      </w:r>
      <w:r w:rsidR="00EF1836" w:rsidRPr="001825F2">
        <w:rPr>
          <w:rFonts w:asciiTheme="minorHAnsi" w:hAnsiTheme="minorHAnsi" w:cs="Arial"/>
          <w:sz w:val="24"/>
          <w:szCs w:val="24"/>
        </w:rPr>
        <w:t>s</w:t>
      </w:r>
      <w:r w:rsidR="0065488F" w:rsidRPr="001825F2">
        <w:rPr>
          <w:rFonts w:asciiTheme="minorHAnsi" w:hAnsiTheme="minorHAnsi" w:cs="Arial"/>
          <w:sz w:val="24"/>
          <w:szCs w:val="24"/>
        </w:rPr>
        <w:t xml:space="preserve"> </w:t>
      </w:r>
      <w:r w:rsidR="00714098" w:rsidRPr="001825F2">
        <w:rPr>
          <w:rFonts w:asciiTheme="minorHAnsi" w:hAnsiTheme="minorHAnsi" w:cs="Arial"/>
          <w:sz w:val="24"/>
          <w:szCs w:val="24"/>
        </w:rPr>
        <w:t>consist of</w:t>
      </w:r>
      <w:r w:rsidR="0065488F" w:rsidRPr="001825F2">
        <w:rPr>
          <w:rFonts w:asciiTheme="minorHAnsi" w:hAnsiTheme="minorHAnsi" w:cs="Arial"/>
          <w:sz w:val="24"/>
          <w:szCs w:val="24"/>
        </w:rPr>
        <w:t xml:space="preserve"> Major </w:t>
      </w:r>
      <w:r w:rsidR="00EF1836" w:rsidRPr="001825F2">
        <w:rPr>
          <w:rFonts w:asciiTheme="minorHAnsi" w:hAnsiTheme="minorHAnsi" w:cs="Arial"/>
          <w:sz w:val="24"/>
          <w:szCs w:val="24"/>
        </w:rPr>
        <w:t>Advances</w:t>
      </w:r>
      <w:r w:rsidR="00DA4041" w:rsidRPr="001825F2">
        <w:rPr>
          <w:rFonts w:asciiTheme="minorHAnsi" w:hAnsiTheme="minorHAnsi" w:cs="Arial"/>
          <w:sz w:val="24"/>
          <w:szCs w:val="24"/>
        </w:rPr>
        <w:t xml:space="preserve"> and Emergency </w:t>
      </w:r>
      <w:r w:rsidR="00EF1836" w:rsidRPr="001825F2">
        <w:rPr>
          <w:rFonts w:asciiTheme="minorHAnsi" w:hAnsiTheme="minorHAnsi" w:cs="Arial"/>
          <w:sz w:val="24"/>
          <w:szCs w:val="24"/>
        </w:rPr>
        <w:t>Advances</w:t>
      </w:r>
      <w:r w:rsidR="0065488F" w:rsidRPr="001825F2">
        <w:rPr>
          <w:rFonts w:asciiTheme="minorHAnsi" w:hAnsiTheme="minorHAnsi" w:cs="Arial"/>
          <w:sz w:val="24"/>
          <w:szCs w:val="24"/>
        </w:rPr>
        <w:t xml:space="preserve"> balances as at 30 September 201</w:t>
      </w:r>
      <w:r w:rsidR="00684EC1" w:rsidRPr="001825F2">
        <w:rPr>
          <w:rFonts w:asciiTheme="minorHAnsi" w:hAnsiTheme="minorHAnsi" w:cs="Arial"/>
          <w:sz w:val="24"/>
          <w:szCs w:val="24"/>
        </w:rPr>
        <w:t>8</w:t>
      </w:r>
      <w:r w:rsidR="0065488F" w:rsidRPr="001825F2">
        <w:rPr>
          <w:rFonts w:asciiTheme="minorHAnsi" w:hAnsiTheme="minorHAnsi" w:cs="Arial"/>
          <w:sz w:val="24"/>
          <w:szCs w:val="24"/>
        </w:rPr>
        <w:t xml:space="preserve">. </w:t>
      </w:r>
      <w:r w:rsidR="00AD1AC4" w:rsidRPr="001825F2">
        <w:rPr>
          <w:rFonts w:asciiTheme="minorHAnsi" w:hAnsiTheme="minorHAnsi" w:cs="Arial"/>
          <w:sz w:val="24"/>
          <w:szCs w:val="24"/>
        </w:rPr>
        <w:t>Advances are recoverable f</w:t>
      </w:r>
      <w:r w:rsidR="00F35FEC" w:rsidRPr="001825F2">
        <w:rPr>
          <w:rFonts w:asciiTheme="minorHAnsi" w:hAnsiTheme="minorHAnsi" w:cs="Arial"/>
          <w:sz w:val="24"/>
          <w:szCs w:val="24"/>
        </w:rPr>
        <w:t>r</w:t>
      </w:r>
      <w:r w:rsidR="00AD1AC4" w:rsidRPr="001825F2">
        <w:rPr>
          <w:rFonts w:asciiTheme="minorHAnsi" w:hAnsiTheme="minorHAnsi" w:cs="Arial"/>
          <w:sz w:val="24"/>
          <w:szCs w:val="24"/>
        </w:rPr>
        <w:t xml:space="preserve">om future </w:t>
      </w:r>
      <w:r w:rsidR="00002B87" w:rsidRPr="001825F2">
        <w:rPr>
          <w:rFonts w:asciiTheme="minorHAnsi" w:hAnsiTheme="minorHAnsi" w:cs="Arial"/>
          <w:sz w:val="24"/>
          <w:szCs w:val="24"/>
        </w:rPr>
        <w:t>A</w:t>
      </w:r>
      <w:r w:rsidR="00F35FEC" w:rsidRPr="001825F2">
        <w:rPr>
          <w:rFonts w:asciiTheme="minorHAnsi" w:hAnsiTheme="minorHAnsi" w:cs="Arial"/>
          <w:sz w:val="24"/>
          <w:szCs w:val="24"/>
        </w:rPr>
        <w:t xml:space="preserve">nnual </w:t>
      </w:r>
      <w:r w:rsidR="00002B87" w:rsidRPr="001825F2">
        <w:rPr>
          <w:rFonts w:asciiTheme="minorHAnsi" w:hAnsiTheme="minorHAnsi" w:cs="Arial"/>
          <w:sz w:val="24"/>
          <w:szCs w:val="24"/>
        </w:rPr>
        <w:t>G</w:t>
      </w:r>
      <w:r w:rsidR="00AD1AC4" w:rsidRPr="001825F2">
        <w:rPr>
          <w:rFonts w:asciiTheme="minorHAnsi" w:hAnsiTheme="minorHAnsi" w:cs="Arial"/>
          <w:sz w:val="24"/>
          <w:szCs w:val="24"/>
        </w:rPr>
        <w:t xml:space="preserve">rant allocations. Emergency </w:t>
      </w:r>
      <w:r w:rsidR="00EF1836" w:rsidRPr="001825F2">
        <w:rPr>
          <w:rFonts w:asciiTheme="minorHAnsi" w:hAnsiTheme="minorHAnsi" w:cs="Arial"/>
          <w:sz w:val="24"/>
          <w:szCs w:val="24"/>
        </w:rPr>
        <w:t>Advances</w:t>
      </w:r>
      <w:r w:rsidR="00AD1AC4" w:rsidRPr="001825F2">
        <w:rPr>
          <w:rFonts w:asciiTheme="minorHAnsi" w:hAnsiTheme="minorHAnsi" w:cs="Arial"/>
          <w:sz w:val="24"/>
          <w:szCs w:val="24"/>
        </w:rPr>
        <w:t xml:space="preserve"> are recoverable within one year</w:t>
      </w:r>
      <w:r w:rsidR="0006244A" w:rsidRPr="001825F2">
        <w:rPr>
          <w:rFonts w:asciiTheme="minorHAnsi" w:hAnsiTheme="minorHAnsi" w:cs="Arial"/>
          <w:sz w:val="24"/>
          <w:szCs w:val="24"/>
        </w:rPr>
        <w:t>,</w:t>
      </w:r>
      <w:r w:rsidR="00AD1AC4" w:rsidRPr="001825F2">
        <w:rPr>
          <w:rFonts w:asciiTheme="minorHAnsi" w:hAnsiTheme="minorHAnsi" w:cs="Arial"/>
          <w:sz w:val="24"/>
          <w:szCs w:val="24"/>
        </w:rPr>
        <w:t xml:space="preserve"> Major </w:t>
      </w:r>
      <w:r w:rsidR="00EF1836" w:rsidRPr="001825F2">
        <w:rPr>
          <w:rFonts w:asciiTheme="minorHAnsi" w:hAnsiTheme="minorHAnsi" w:cs="Arial"/>
          <w:sz w:val="24"/>
          <w:szCs w:val="24"/>
        </w:rPr>
        <w:t>Advances</w:t>
      </w:r>
      <w:r w:rsidR="00AD1AC4" w:rsidRPr="001825F2">
        <w:rPr>
          <w:rFonts w:asciiTheme="minorHAnsi" w:hAnsiTheme="minorHAnsi" w:cs="Arial"/>
          <w:sz w:val="24"/>
          <w:szCs w:val="24"/>
        </w:rPr>
        <w:t xml:space="preserve"> are recoverable up to a maximum of ten years.</w:t>
      </w:r>
      <w:r w:rsidR="00895728" w:rsidRPr="001825F2">
        <w:t xml:space="preserve"> </w:t>
      </w:r>
    </w:p>
    <w:p w14:paraId="702BCFB2" w14:textId="5AA6252D" w:rsidR="00F11312" w:rsidRPr="002B2821" w:rsidRDefault="00AB5511" w:rsidP="00D94BB1">
      <w:pPr>
        <w:spacing w:after="120"/>
        <w:rPr>
          <w:rFonts w:asciiTheme="minorHAnsi" w:hAnsiTheme="minorHAnsi" w:cs="Arial"/>
          <w:b/>
          <w:bCs/>
          <w:color w:val="442359"/>
          <w:sz w:val="24"/>
          <w:szCs w:val="24"/>
        </w:rPr>
      </w:pPr>
      <w:r w:rsidRPr="001825F2">
        <w:br/>
      </w:r>
      <w:r w:rsidR="00F11312" w:rsidRPr="002B2821">
        <w:rPr>
          <w:rFonts w:asciiTheme="minorHAnsi" w:hAnsiTheme="minorHAnsi" w:cs="Arial"/>
          <w:b/>
          <w:bCs/>
          <w:color w:val="442359"/>
          <w:sz w:val="24"/>
          <w:szCs w:val="24"/>
        </w:rPr>
        <w:t xml:space="preserve">15     Creditors </w:t>
      </w:r>
    </w:p>
    <w:tbl>
      <w:tblPr>
        <w:tblW w:w="7830" w:type="dxa"/>
        <w:tblInd w:w="108" w:type="dxa"/>
        <w:tblLayout w:type="fixed"/>
        <w:tblLook w:val="0000" w:firstRow="0" w:lastRow="0" w:firstColumn="0" w:lastColumn="0" w:noHBand="0" w:noVBand="0"/>
      </w:tblPr>
      <w:tblGrid>
        <w:gridCol w:w="4995"/>
        <w:gridCol w:w="1418"/>
        <w:gridCol w:w="1417"/>
      </w:tblGrid>
      <w:tr w:rsidR="00F11312" w:rsidRPr="002B2821" w14:paraId="73ECF27C" w14:textId="77777777" w:rsidTr="00E666FF">
        <w:trPr>
          <w:trHeight w:hRule="exact" w:val="1202"/>
          <w:tblHeader/>
        </w:trPr>
        <w:tc>
          <w:tcPr>
            <w:tcW w:w="4995" w:type="dxa"/>
          </w:tcPr>
          <w:p w14:paraId="5BCBD1C7" w14:textId="77777777" w:rsidR="00F11312" w:rsidRPr="002B2821" w:rsidRDefault="00F11312" w:rsidP="00E666FF">
            <w:pPr>
              <w:pStyle w:val="Caption"/>
              <w:spacing w:line="240" w:lineRule="auto"/>
              <w:rPr>
                <w:rFonts w:asciiTheme="minorHAnsi" w:hAnsiTheme="minorHAnsi" w:cs="Arial"/>
                <w:color w:val="0000FF"/>
                <w:szCs w:val="24"/>
              </w:rPr>
            </w:pPr>
          </w:p>
        </w:tc>
        <w:tc>
          <w:tcPr>
            <w:tcW w:w="1418" w:type="dxa"/>
          </w:tcPr>
          <w:p w14:paraId="353BB1B6" w14:textId="77777777" w:rsidR="00F11312" w:rsidRPr="002B2821" w:rsidRDefault="00F11312" w:rsidP="00E666FF">
            <w:pPr>
              <w:pStyle w:val="TableColumnHeader"/>
              <w:spacing w:before="0"/>
              <w:ind w:left="-79"/>
              <w:rPr>
                <w:rFonts w:asciiTheme="minorHAnsi" w:hAnsiTheme="minorHAnsi" w:cs="Arial"/>
                <w:color w:val="442359"/>
                <w:sz w:val="24"/>
                <w:szCs w:val="24"/>
              </w:rPr>
            </w:pPr>
            <w:r w:rsidRPr="002B2821">
              <w:rPr>
                <w:rFonts w:asciiTheme="minorHAnsi" w:hAnsiTheme="minorHAnsi" w:cs="Arial"/>
                <w:color w:val="442359"/>
                <w:sz w:val="24"/>
                <w:szCs w:val="24"/>
              </w:rPr>
              <w:t>Total funds</w:t>
            </w:r>
            <w:r w:rsidRPr="002B2821">
              <w:rPr>
                <w:rFonts w:asciiTheme="minorHAnsi" w:hAnsiTheme="minorHAnsi" w:cs="Arial"/>
                <w:color w:val="442359"/>
                <w:sz w:val="24"/>
                <w:szCs w:val="24"/>
              </w:rPr>
              <w:br/>
              <w:t>2018</w:t>
            </w:r>
          </w:p>
          <w:p w14:paraId="4E1D549B" w14:textId="77777777" w:rsidR="00F11312" w:rsidRPr="002B2821" w:rsidRDefault="00F11312" w:rsidP="00E666FF">
            <w:pPr>
              <w:pStyle w:val="TableColumnHeader"/>
              <w:spacing w:before="0"/>
              <w:ind w:left="-79"/>
              <w:rPr>
                <w:rFonts w:asciiTheme="minorHAnsi" w:hAnsiTheme="minorHAnsi" w:cs="Arial"/>
                <w:color w:val="442359"/>
                <w:sz w:val="24"/>
                <w:szCs w:val="24"/>
              </w:rPr>
            </w:pPr>
            <w:r w:rsidRPr="002B2821">
              <w:rPr>
                <w:rFonts w:asciiTheme="minorHAnsi" w:hAnsiTheme="minorHAnsi" w:cs="Arial"/>
                <w:color w:val="442359"/>
                <w:sz w:val="24"/>
                <w:szCs w:val="24"/>
              </w:rPr>
              <w:t>£000s</w:t>
            </w:r>
          </w:p>
        </w:tc>
        <w:tc>
          <w:tcPr>
            <w:tcW w:w="1417" w:type="dxa"/>
          </w:tcPr>
          <w:p w14:paraId="56438EB5" w14:textId="77777777" w:rsidR="00F11312" w:rsidRPr="002B2821" w:rsidRDefault="00F11312" w:rsidP="00E666FF">
            <w:pPr>
              <w:pStyle w:val="TableColumnHeader"/>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 xml:space="preserve">Total funds </w:t>
            </w:r>
            <w:r w:rsidRPr="002B2821">
              <w:rPr>
                <w:rFonts w:asciiTheme="minorHAnsi" w:hAnsiTheme="minorHAnsi" w:cs="Arial"/>
                <w:b w:val="0"/>
                <w:color w:val="442359"/>
                <w:sz w:val="24"/>
                <w:szCs w:val="24"/>
              </w:rPr>
              <w:br/>
              <w:t>2017</w:t>
            </w:r>
          </w:p>
          <w:p w14:paraId="78C68BC5" w14:textId="77777777" w:rsidR="00F11312" w:rsidRPr="002B2821" w:rsidRDefault="00F11312" w:rsidP="00E666FF">
            <w:pPr>
              <w:pStyle w:val="TableColumnHeader"/>
              <w:spacing w:before="0"/>
              <w:rPr>
                <w:rFonts w:asciiTheme="minorHAnsi" w:hAnsiTheme="minorHAnsi" w:cs="Arial"/>
                <w:b w:val="0"/>
                <w:color w:val="442359"/>
                <w:sz w:val="24"/>
                <w:szCs w:val="24"/>
              </w:rPr>
            </w:pPr>
            <w:r w:rsidRPr="002B2821">
              <w:rPr>
                <w:rFonts w:asciiTheme="minorHAnsi" w:hAnsiTheme="minorHAnsi" w:cs="Arial"/>
                <w:b w:val="0"/>
                <w:color w:val="442359"/>
                <w:sz w:val="24"/>
                <w:szCs w:val="24"/>
              </w:rPr>
              <w:t>£000s</w:t>
            </w:r>
          </w:p>
        </w:tc>
      </w:tr>
      <w:tr w:rsidR="00F11312" w:rsidRPr="002B2821" w14:paraId="3525EA97" w14:textId="77777777" w:rsidTr="00E666FF">
        <w:trPr>
          <w:trHeight w:hRule="exact" w:val="553"/>
          <w:tblHeader/>
        </w:trPr>
        <w:tc>
          <w:tcPr>
            <w:tcW w:w="4995" w:type="dxa"/>
            <w:vAlign w:val="center"/>
          </w:tcPr>
          <w:p w14:paraId="641F6ADE" w14:textId="77777777" w:rsidR="00F11312" w:rsidRPr="002B2821" w:rsidRDefault="00F11312" w:rsidP="00E666FF">
            <w:pPr>
              <w:pStyle w:val="Caption"/>
              <w:spacing w:line="240" w:lineRule="auto"/>
              <w:rPr>
                <w:rFonts w:asciiTheme="minorHAnsi" w:hAnsiTheme="minorHAnsi" w:cs="Arial"/>
                <w:b/>
                <w:szCs w:val="24"/>
              </w:rPr>
            </w:pPr>
            <w:r w:rsidRPr="002B2821">
              <w:rPr>
                <w:rFonts w:asciiTheme="minorHAnsi" w:hAnsiTheme="minorHAnsi" w:cs="Arial"/>
                <w:b/>
                <w:szCs w:val="24"/>
              </w:rPr>
              <w:t>Creditors: amounts falling due within one year</w:t>
            </w:r>
          </w:p>
        </w:tc>
        <w:tc>
          <w:tcPr>
            <w:tcW w:w="1418" w:type="dxa"/>
          </w:tcPr>
          <w:p w14:paraId="2453AF2D" w14:textId="77777777" w:rsidR="00F11312" w:rsidRPr="002B2821" w:rsidRDefault="00F11312" w:rsidP="00E666FF">
            <w:pPr>
              <w:pStyle w:val="TableColumnHeader"/>
              <w:spacing w:before="0"/>
              <w:rPr>
                <w:rFonts w:asciiTheme="minorHAnsi" w:hAnsiTheme="minorHAnsi" w:cs="Arial"/>
                <w:sz w:val="24"/>
                <w:szCs w:val="24"/>
              </w:rPr>
            </w:pPr>
          </w:p>
        </w:tc>
        <w:tc>
          <w:tcPr>
            <w:tcW w:w="1417" w:type="dxa"/>
          </w:tcPr>
          <w:p w14:paraId="397413BC" w14:textId="77777777" w:rsidR="00F11312" w:rsidRPr="002B2821" w:rsidRDefault="00F11312" w:rsidP="00E666FF">
            <w:pPr>
              <w:pStyle w:val="TableColumnHeader"/>
              <w:spacing w:before="0"/>
              <w:rPr>
                <w:rFonts w:asciiTheme="minorHAnsi" w:hAnsiTheme="minorHAnsi" w:cs="Arial"/>
                <w:b w:val="0"/>
                <w:sz w:val="24"/>
                <w:szCs w:val="24"/>
              </w:rPr>
            </w:pPr>
          </w:p>
        </w:tc>
      </w:tr>
      <w:tr w:rsidR="00F11312" w:rsidRPr="002B2821" w14:paraId="633762B9" w14:textId="77777777" w:rsidTr="00E666FF">
        <w:trPr>
          <w:trHeight w:hRule="exact" w:val="441"/>
        </w:trPr>
        <w:tc>
          <w:tcPr>
            <w:tcW w:w="4995" w:type="dxa"/>
            <w:vAlign w:val="center"/>
          </w:tcPr>
          <w:p w14:paraId="0AA56DCA" w14:textId="77777777" w:rsidR="00F11312" w:rsidRPr="002B2821" w:rsidRDefault="00F11312" w:rsidP="00E666FF">
            <w:pPr>
              <w:pStyle w:val="TableRowHeader"/>
              <w:spacing w:before="0" w:after="0" w:line="240" w:lineRule="auto"/>
              <w:ind w:left="0"/>
              <w:rPr>
                <w:rFonts w:asciiTheme="minorHAnsi" w:hAnsiTheme="minorHAnsi" w:cs="Arial"/>
                <w:sz w:val="24"/>
                <w:szCs w:val="24"/>
              </w:rPr>
            </w:pPr>
            <w:r w:rsidRPr="002B2821">
              <w:rPr>
                <w:rFonts w:asciiTheme="minorHAnsi" w:hAnsiTheme="minorHAnsi" w:cs="Arial"/>
                <w:spacing w:val="-2"/>
                <w:kern w:val="2"/>
                <w:sz w:val="24"/>
                <w:szCs w:val="24"/>
              </w:rPr>
              <w:t>Beneficiary nominee accounts (note 11)</w:t>
            </w:r>
          </w:p>
        </w:tc>
        <w:tc>
          <w:tcPr>
            <w:tcW w:w="1418" w:type="dxa"/>
            <w:vAlign w:val="center"/>
          </w:tcPr>
          <w:p w14:paraId="07718413" w14:textId="77777777" w:rsidR="00F11312" w:rsidRPr="002B2821" w:rsidRDefault="00F11312" w:rsidP="00E666FF">
            <w:pPr>
              <w:pStyle w:val="TableFigure"/>
              <w:tabs>
                <w:tab w:val="clear" w:pos="851"/>
                <w:tab w:val="decimal" w:pos="1031"/>
              </w:tabs>
              <w:spacing w:before="0"/>
              <w:jc w:val="right"/>
              <w:rPr>
                <w:rFonts w:asciiTheme="minorHAnsi" w:hAnsiTheme="minorHAnsi" w:cs="Arial"/>
                <w:sz w:val="24"/>
                <w:szCs w:val="24"/>
              </w:rPr>
            </w:pPr>
            <w:r w:rsidRPr="002B2821">
              <w:rPr>
                <w:rFonts w:asciiTheme="minorHAnsi" w:hAnsiTheme="minorHAnsi" w:cs="Arial"/>
                <w:sz w:val="24"/>
                <w:szCs w:val="24"/>
              </w:rPr>
              <w:t>17,335</w:t>
            </w:r>
          </w:p>
        </w:tc>
        <w:tc>
          <w:tcPr>
            <w:tcW w:w="1417" w:type="dxa"/>
            <w:vAlign w:val="center"/>
          </w:tcPr>
          <w:p w14:paraId="28E48E64" w14:textId="77777777" w:rsidR="00F11312" w:rsidRPr="002B2821" w:rsidRDefault="00F11312" w:rsidP="00E666F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17,525</w:t>
            </w:r>
          </w:p>
        </w:tc>
      </w:tr>
      <w:tr w:rsidR="00F11312" w:rsidRPr="002B2821" w14:paraId="4CCEEA76" w14:textId="77777777" w:rsidTr="00E666FF">
        <w:trPr>
          <w:trHeight w:hRule="exact" w:val="441"/>
        </w:trPr>
        <w:tc>
          <w:tcPr>
            <w:tcW w:w="4995" w:type="dxa"/>
            <w:vAlign w:val="center"/>
          </w:tcPr>
          <w:p w14:paraId="5ED34F96" w14:textId="77777777" w:rsidR="00F11312" w:rsidRPr="002B2821" w:rsidRDefault="00F11312" w:rsidP="00E666FF">
            <w:pPr>
              <w:pStyle w:val="TableRowHeader"/>
              <w:spacing w:before="0" w:after="0" w:line="240" w:lineRule="auto"/>
              <w:ind w:left="0"/>
              <w:rPr>
                <w:rFonts w:asciiTheme="minorHAnsi" w:hAnsiTheme="minorHAnsi" w:cs="Arial"/>
                <w:spacing w:val="-2"/>
                <w:kern w:val="2"/>
                <w:sz w:val="24"/>
                <w:szCs w:val="24"/>
              </w:rPr>
            </w:pPr>
            <w:r w:rsidRPr="002B2821">
              <w:rPr>
                <w:rFonts w:asciiTheme="minorHAnsi" w:hAnsiTheme="minorHAnsi" w:cs="Arial"/>
                <w:spacing w:val="-2"/>
                <w:kern w:val="2"/>
                <w:sz w:val="24"/>
                <w:szCs w:val="24"/>
              </w:rPr>
              <w:t>Other creditors and accruals</w:t>
            </w:r>
          </w:p>
        </w:tc>
        <w:tc>
          <w:tcPr>
            <w:tcW w:w="1418" w:type="dxa"/>
            <w:vAlign w:val="center"/>
          </w:tcPr>
          <w:p w14:paraId="6BA11B69" w14:textId="77777777" w:rsidR="00F11312" w:rsidRPr="002B2821" w:rsidRDefault="00F11312" w:rsidP="00E666FF">
            <w:pPr>
              <w:pStyle w:val="TableFigure"/>
              <w:tabs>
                <w:tab w:val="clear" w:pos="851"/>
                <w:tab w:val="decimal" w:pos="1031"/>
              </w:tabs>
              <w:spacing w:before="0"/>
              <w:jc w:val="right"/>
              <w:rPr>
                <w:rFonts w:asciiTheme="minorHAnsi" w:hAnsiTheme="minorHAnsi" w:cs="Arial"/>
                <w:sz w:val="24"/>
                <w:szCs w:val="24"/>
              </w:rPr>
            </w:pPr>
            <w:r w:rsidRPr="002B2821">
              <w:rPr>
                <w:rFonts w:asciiTheme="minorHAnsi" w:hAnsiTheme="minorHAnsi" w:cs="Arial"/>
                <w:sz w:val="24"/>
                <w:szCs w:val="24"/>
              </w:rPr>
              <w:t>290</w:t>
            </w:r>
          </w:p>
        </w:tc>
        <w:tc>
          <w:tcPr>
            <w:tcW w:w="1417" w:type="dxa"/>
            <w:vAlign w:val="center"/>
          </w:tcPr>
          <w:p w14:paraId="1EA576E5" w14:textId="77777777" w:rsidR="00F11312" w:rsidRPr="002B2821" w:rsidRDefault="00F11312" w:rsidP="00E666FF">
            <w:pPr>
              <w:pStyle w:val="TableFigure"/>
              <w:tabs>
                <w:tab w:val="clear" w:pos="851"/>
                <w:tab w:val="decimal" w:pos="1031"/>
              </w:tabs>
              <w:spacing w:before="0"/>
              <w:jc w:val="center"/>
              <w:rPr>
                <w:rFonts w:asciiTheme="minorHAnsi" w:hAnsiTheme="minorHAnsi" w:cs="Arial"/>
                <w:b w:val="0"/>
                <w:sz w:val="24"/>
                <w:szCs w:val="24"/>
              </w:rPr>
            </w:pPr>
            <w:r w:rsidRPr="002B2821">
              <w:rPr>
                <w:rFonts w:asciiTheme="minorHAnsi" w:hAnsiTheme="minorHAnsi" w:cs="Arial"/>
                <w:b w:val="0"/>
                <w:sz w:val="24"/>
                <w:szCs w:val="24"/>
              </w:rPr>
              <w:t>386</w:t>
            </w:r>
          </w:p>
        </w:tc>
      </w:tr>
      <w:tr w:rsidR="00F11312" w:rsidRPr="002B2821" w14:paraId="76A5A7AD" w14:textId="77777777" w:rsidTr="00E666FF">
        <w:trPr>
          <w:trHeight w:hRule="exact" w:val="400"/>
        </w:trPr>
        <w:tc>
          <w:tcPr>
            <w:tcW w:w="4995" w:type="dxa"/>
            <w:vAlign w:val="center"/>
          </w:tcPr>
          <w:p w14:paraId="39057E58" w14:textId="77777777" w:rsidR="00F11312" w:rsidRPr="002B2821" w:rsidRDefault="00F11312" w:rsidP="00E666FF">
            <w:pPr>
              <w:pStyle w:val="TableRowHeader"/>
              <w:spacing w:before="0" w:after="0" w:line="240" w:lineRule="auto"/>
              <w:ind w:left="0"/>
              <w:rPr>
                <w:rFonts w:asciiTheme="minorHAnsi" w:hAnsiTheme="minorHAnsi" w:cs="Arial"/>
                <w:b/>
                <w:spacing w:val="-2"/>
                <w:kern w:val="2"/>
                <w:sz w:val="24"/>
                <w:szCs w:val="24"/>
              </w:rPr>
            </w:pPr>
            <w:r w:rsidRPr="002B2821">
              <w:rPr>
                <w:rFonts w:asciiTheme="minorHAnsi" w:hAnsiTheme="minorHAnsi" w:cs="Arial"/>
                <w:b/>
                <w:spacing w:val="-2"/>
                <w:kern w:val="2"/>
                <w:sz w:val="24"/>
                <w:szCs w:val="24"/>
              </w:rPr>
              <w:t>Total</w:t>
            </w:r>
          </w:p>
        </w:tc>
        <w:tc>
          <w:tcPr>
            <w:tcW w:w="1418" w:type="dxa"/>
            <w:tcBorders>
              <w:top w:val="single" w:sz="4" w:space="0" w:color="auto"/>
              <w:bottom w:val="single" w:sz="4" w:space="0" w:color="auto"/>
            </w:tcBorders>
            <w:vAlign w:val="center"/>
          </w:tcPr>
          <w:p w14:paraId="22CCC8C4" w14:textId="77777777" w:rsidR="00F11312" w:rsidRPr="002B2821" w:rsidRDefault="00F11312" w:rsidP="00E666FF">
            <w:pPr>
              <w:pStyle w:val="TableFigure"/>
              <w:tabs>
                <w:tab w:val="clear" w:pos="851"/>
                <w:tab w:val="decimal" w:pos="743"/>
              </w:tabs>
              <w:spacing w:before="0"/>
              <w:jc w:val="right"/>
              <w:rPr>
                <w:rFonts w:asciiTheme="minorHAnsi" w:hAnsiTheme="minorHAnsi" w:cs="Arial"/>
                <w:sz w:val="24"/>
                <w:szCs w:val="24"/>
              </w:rPr>
            </w:pPr>
            <w:r w:rsidRPr="002B2821">
              <w:rPr>
                <w:rFonts w:asciiTheme="minorHAnsi" w:hAnsiTheme="minorHAnsi" w:cs="Arial"/>
                <w:sz w:val="24"/>
                <w:szCs w:val="24"/>
              </w:rPr>
              <w:t>17,625</w:t>
            </w:r>
          </w:p>
        </w:tc>
        <w:tc>
          <w:tcPr>
            <w:tcW w:w="1417" w:type="dxa"/>
            <w:tcBorders>
              <w:top w:val="single" w:sz="4" w:space="0" w:color="auto"/>
              <w:bottom w:val="single" w:sz="4" w:space="0" w:color="auto"/>
            </w:tcBorders>
            <w:vAlign w:val="center"/>
          </w:tcPr>
          <w:p w14:paraId="253ED608" w14:textId="77777777" w:rsidR="00F11312" w:rsidRPr="002B2821" w:rsidRDefault="00F11312" w:rsidP="00E666FF">
            <w:pPr>
              <w:pStyle w:val="TableFigure"/>
              <w:tabs>
                <w:tab w:val="clear" w:pos="851"/>
                <w:tab w:val="decimal" w:pos="1031"/>
              </w:tabs>
              <w:spacing w:before="0"/>
              <w:jc w:val="center"/>
              <w:rPr>
                <w:rFonts w:asciiTheme="minorHAnsi" w:hAnsiTheme="minorHAnsi" w:cs="Arial"/>
                <w:b w:val="0"/>
                <w:sz w:val="24"/>
                <w:szCs w:val="24"/>
              </w:rPr>
            </w:pPr>
            <w:r>
              <w:rPr>
                <w:rFonts w:asciiTheme="minorHAnsi" w:hAnsiTheme="minorHAnsi" w:cs="Arial"/>
                <w:b w:val="0"/>
                <w:sz w:val="24"/>
                <w:szCs w:val="24"/>
              </w:rPr>
              <w:t>17,911</w:t>
            </w:r>
          </w:p>
        </w:tc>
      </w:tr>
    </w:tbl>
    <w:p w14:paraId="4C1E8F95" w14:textId="77777777" w:rsidR="00F11312" w:rsidRPr="002B2821" w:rsidRDefault="00F11312" w:rsidP="00F11312">
      <w:pPr>
        <w:tabs>
          <w:tab w:val="left" w:pos="0"/>
          <w:tab w:val="left" w:pos="720"/>
          <w:tab w:val="decimal" w:pos="5376"/>
          <w:tab w:val="decimal" w:pos="7256"/>
          <w:tab w:val="decimal" w:pos="8667"/>
        </w:tabs>
        <w:suppressAutoHyphens/>
        <w:spacing w:after="0" w:line="240" w:lineRule="auto"/>
        <w:jc w:val="both"/>
        <w:rPr>
          <w:rFonts w:asciiTheme="minorHAnsi" w:hAnsiTheme="minorHAnsi" w:cs="Arial"/>
          <w:spacing w:val="-3"/>
          <w:kern w:val="2"/>
          <w:sz w:val="24"/>
          <w:szCs w:val="24"/>
        </w:rPr>
      </w:pPr>
    </w:p>
    <w:p w14:paraId="17E8EFA8" w14:textId="77777777" w:rsidR="00F11312" w:rsidRPr="002B2821" w:rsidRDefault="00F11312" w:rsidP="0056547A">
      <w:pPr>
        <w:spacing w:after="120"/>
        <w:rPr>
          <w:rFonts w:asciiTheme="minorHAnsi" w:hAnsiTheme="minorHAnsi" w:cs="Arial"/>
          <w:b/>
          <w:color w:val="442359"/>
          <w:sz w:val="24"/>
          <w:szCs w:val="24"/>
        </w:rPr>
      </w:pPr>
      <w:r w:rsidRPr="002B2821">
        <w:rPr>
          <w:rFonts w:asciiTheme="minorHAnsi" w:hAnsiTheme="minorHAnsi" w:cs="Arial"/>
          <w:b/>
          <w:color w:val="442359"/>
          <w:sz w:val="24"/>
          <w:szCs w:val="24"/>
        </w:rPr>
        <w:t>16   Related Party Transactions</w:t>
      </w:r>
    </w:p>
    <w:p w14:paraId="5E3EC171" w14:textId="77777777" w:rsidR="00F11312" w:rsidRDefault="00F11312" w:rsidP="0056547A">
      <w:pPr>
        <w:spacing w:after="180" w:line="240" w:lineRule="auto"/>
        <w:rPr>
          <w:rFonts w:asciiTheme="minorHAnsi" w:hAnsiTheme="minorHAnsi" w:cs="Arial"/>
          <w:sz w:val="24"/>
          <w:szCs w:val="24"/>
        </w:rPr>
      </w:pPr>
      <w:r>
        <w:rPr>
          <w:rFonts w:asciiTheme="minorHAnsi" w:hAnsiTheme="minorHAnsi" w:cs="Arial"/>
          <w:sz w:val="24"/>
          <w:szCs w:val="24"/>
        </w:rPr>
        <w:t>Other than expenses paid to Trustees (see note 7), t</w:t>
      </w:r>
      <w:r w:rsidRPr="002B2821">
        <w:rPr>
          <w:rFonts w:asciiTheme="minorHAnsi" w:hAnsiTheme="minorHAnsi" w:cs="Arial"/>
          <w:sz w:val="24"/>
          <w:szCs w:val="24"/>
        </w:rPr>
        <w:t>here were no related party transactions during the year</w:t>
      </w:r>
      <w:r>
        <w:rPr>
          <w:rFonts w:asciiTheme="minorHAnsi" w:hAnsiTheme="minorHAnsi" w:cs="Arial"/>
          <w:sz w:val="24"/>
          <w:szCs w:val="24"/>
        </w:rPr>
        <w:t>.</w:t>
      </w:r>
    </w:p>
    <w:p w14:paraId="288FFBD8" w14:textId="77777777" w:rsidR="00F11312" w:rsidRDefault="00F11312" w:rsidP="0056547A">
      <w:pPr>
        <w:spacing w:after="180" w:line="240" w:lineRule="auto"/>
        <w:rPr>
          <w:rFonts w:asciiTheme="minorHAnsi" w:hAnsiTheme="minorHAnsi" w:cs="Arial"/>
          <w:sz w:val="24"/>
          <w:szCs w:val="24"/>
        </w:rPr>
      </w:pPr>
      <w:r>
        <w:rPr>
          <w:rFonts w:asciiTheme="minorHAnsi" w:hAnsiTheme="minorHAnsi" w:cs="Arial"/>
          <w:sz w:val="24"/>
          <w:szCs w:val="24"/>
        </w:rPr>
        <w:t>There is no parent undertaking. The ultimate controlling party is The Thalidomide Trust Company Ltd.</w:t>
      </w:r>
      <w:r>
        <w:rPr>
          <w:rFonts w:asciiTheme="minorHAnsi" w:hAnsiTheme="minorHAnsi" w:cs="Arial"/>
          <w:sz w:val="24"/>
          <w:szCs w:val="24"/>
        </w:rPr>
        <w:br w:type="page"/>
      </w:r>
    </w:p>
    <w:p w14:paraId="5F3BDD43" w14:textId="77777777" w:rsidR="007C2E1F" w:rsidRPr="002B2821" w:rsidRDefault="007C2E1F" w:rsidP="007C2E1F">
      <w:pPr>
        <w:pStyle w:val="BodyText"/>
        <w:spacing w:after="0" w:line="240" w:lineRule="auto"/>
        <w:rPr>
          <w:rFonts w:asciiTheme="minorHAnsi" w:hAnsiTheme="minorHAnsi" w:cs="Arial"/>
          <w:b/>
          <w:color w:val="442359"/>
          <w:sz w:val="24"/>
          <w:szCs w:val="24"/>
        </w:rPr>
      </w:pPr>
      <w:r w:rsidRPr="002B2821">
        <w:rPr>
          <w:rFonts w:asciiTheme="minorHAnsi" w:hAnsiTheme="minorHAnsi" w:cs="Arial"/>
          <w:b/>
          <w:color w:val="442359"/>
          <w:sz w:val="24"/>
          <w:szCs w:val="24"/>
        </w:rPr>
        <w:lastRenderedPageBreak/>
        <w:t>Notes to the financial statements for the year ended 30 September 2018 (continued)</w:t>
      </w:r>
    </w:p>
    <w:p w14:paraId="674E499A" w14:textId="77777777" w:rsidR="00252FC8" w:rsidRPr="002B2821" w:rsidRDefault="00252FC8">
      <w:pPr>
        <w:spacing w:after="0"/>
        <w:rPr>
          <w:rFonts w:asciiTheme="minorHAnsi" w:hAnsiTheme="minorHAnsi" w:cs="Arial"/>
          <w:sz w:val="24"/>
          <w:szCs w:val="24"/>
        </w:rPr>
      </w:pPr>
    </w:p>
    <w:p w14:paraId="30EF5ED9" w14:textId="77777777" w:rsidR="00AC72CA" w:rsidRPr="002B2821" w:rsidRDefault="00AC72CA" w:rsidP="00E540A0">
      <w:pPr>
        <w:pStyle w:val="BodyText"/>
        <w:spacing w:after="180" w:line="240" w:lineRule="auto"/>
        <w:rPr>
          <w:rFonts w:asciiTheme="minorHAnsi" w:hAnsiTheme="minorHAnsi" w:cs="Arial"/>
          <w:b/>
          <w:color w:val="442359"/>
          <w:sz w:val="24"/>
          <w:szCs w:val="24"/>
        </w:rPr>
      </w:pPr>
      <w:r>
        <w:rPr>
          <w:rFonts w:asciiTheme="minorHAnsi" w:hAnsiTheme="minorHAnsi" w:cs="Arial"/>
          <w:b/>
          <w:color w:val="442359"/>
          <w:sz w:val="24"/>
          <w:szCs w:val="24"/>
        </w:rPr>
        <w:t>17</w:t>
      </w:r>
      <w:r w:rsidRPr="002B2821">
        <w:rPr>
          <w:rFonts w:asciiTheme="minorHAnsi" w:hAnsiTheme="minorHAnsi" w:cs="Arial"/>
          <w:b/>
          <w:color w:val="442359"/>
          <w:sz w:val="24"/>
          <w:szCs w:val="24"/>
        </w:rPr>
        <w:t xml:space="preserve">    </w:t>
      </w:r>
      <w:r>
        <w:rPr>
          <w:rFonts w:asciiTheme="minorHAnsi" w:hAnsiTheme="minorHAnsi" w:cs="Arial"/>
          <w:b/>
          <w:color w:val="442359"/>
          <w:sz w:val="24"/>
          <w:szCs w:val="24"/>
        </w:rPr>
        <w:t>Comparatives for Statement of Financial A</w:t>
      </w:r>
      <w:r w:rsidRPr="002B2821">
        <w:rPr>
          <w:rFonts w:asciiTheme="minorHAnsi" w:hAnsiTheme="minorHAnsi" w:cs="Arial"/>
          <w:b/>
          <w:color w:val="442359"/>
          <w:sz w:val="24"/>
          <w:szCs w:val="24"/>
        </w:rPr>
        <w:t>ctivities</w:t>
      </w:r>
      <w:r>
        <w:rPr>
          <w:rFonts w:asciiTheme="minorHAnsi" w:hAnsiTheme="minorHAnsi" w:cs="Arial"/>
          <w:b/>
          <w:color w:val="442359"/>
          <w:sz w:val="24"/>
          <w:szCs w:val="24"/>
        </w:rPr>
        <w:t xml:space="preserve"> </w:t>
      </w:r>
    </w:p>
    <w:tbl>
      <w:tblPr>
        <w:tblW w:w="9468" w:type="dxa"/>
        <w:tblLook w:val="04A0" w:firstRow="1" w:lastRow="0" w:firstColumn="1" w:lastColumn="0" w:noHBand="0" w:noVBand="1"/>
      </w:tblPr>
      <w:tblGrid>
        <w:gridCol w:w="3193"/>
        <w:gridCol w:w="672"/>
        <w:gridCol w:w="1675"/>
        <w:gridCol w:w="371"/>
        <w:gridCol w:w="1229"/>
        <w:gridCol w:w="353"/>
        <w:gridCol w:w="1550"/>
        <w:gridCol w:w="425"/>
      </w:tblGrid>
      <w:tr w:rsidR="00AC72CA" w:rsidRPr="002B2821" w14:paraId="02ACDBD8" w14:textId="77777777" w:rsidTr="0056547A">
        <w:trPr>
          <w:trHeight w:val="277"/>
        </w:trPr>
        <w:tc>
          <w:tcPr>
            <w:tcW w:w="3193" w:type="dxa"/>
            <w:tcBorders>
              <w:top w:val="nil"/>
              <w:left w:val="nil"/>
              <w:bottom w:val="nil"/>
              <w:right w:val="nil"/>
            </w:tcBorders>
            <w:shd w:val="clear" w:color="auto" w:fill="auto"/>
            <w:noWrap/>
            <w:vAlign w:val="bottom"/>
            <w:hideMark/>
          </w:tcPr>
          <w:p w14:paraId="1801ECF7"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Comparatives</w:t>
            </w:r>
          </w:p>
        </w:tc>
        <w:tc>
          <w:tcPr>
            <w:tcW w:w="672" w:type="dxa"/>
            <w:tcBorders>
              <w:top w:val="nil"/>
              <w:left w:val="nil"/>
              <w:bottom w:val="nil"/>
              <w:right w:val="nil"/>
            </w:tcBorders>
            <w:shd w:val="clear" w:color="auto" w:fill="auto"/>
            <w:noWrap/>
            <w:vAlign w:val="bottom"/>
            <w:hideMark/>
          </w:tcPr>
          <w:p w14:paraId="1CEC8E7C"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3A22DADA"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Unrestricted</w:t>
            </w:r>
          </w:p>
        </w:tc>
        <w:tc>
          <w:tcPr>
            <w:tcW w:w="371" w:type="dxa"/>
            <w:tcBorders>
              <w:top w:val="nil"/>
              <w:left w:val="nil"/>
              <w:bottom w:val="nil"/>
              <w:right w:val="nil"/>
            </w:tcBorders>
            <w:shd w:val="clear" w:color="auto" w:fill="auto"/>
            <w:noWrap/>
            <w:vAlign w:val="bottom"/>
            <w:hideMark/>
          </w:tcPr>
          <w:p w14:paraId="6632B2B0"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41FDED71"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Restricted</w:t>
            </w:r>
          </w:p>
        </w:tc>
        <w:tc>
          <w:tcPr>
            <w:tcW w:w="353" w:type="dxa"/>
            <w:tcBorders>
              <w:top w:val="nil"/>
              <w:left w:val="nil"/>
              <w:bottom w:val="nil"/>
              <w:right w:val="nil"/>
            </w:tcBorders>
            <w:shd w:val="clear" w:color="auto" w:fill="auto"/>
            <w:noWrap/>
            <w:vAlign w:val="bottom"/>
            <w:hideMark/>
          </w:tcPr>
          <w:p w14:paraId="458AEA48"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550" w:type="dxa"/>
            <w:tcBorders>
              <w:top w:val="nil"/>
              <w:left w:val="nil"/>
              <w:bottom w:val="nil"/>
              <w:right w:val="nil"/>
            </w:tcBorders>
            <w:shd w:val="clear" w:color="auto" w:fill="auto"/>
            <w:noWrap/>
            <w:vAlign w:val="bottom"/>
            <w:hideMark/>
          </w:tcPr>
          <w:p w14:paraId="7D4AAB03"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Total Funds</w:t>
            </w:r>
          </w:p>
        </w:tc>
        <w:tc>
          <w:tcPr>
            <w:tcW w:w="425" w:type="dxa"/>
            <w:tcBorders>
              <w:top w:val="nil"/>
              <w:left w:val="nil"/>
              <w:bottom w:val="nil"/>
              <w:right w:val="nil"/>
            </w:tcBorders>
            <w:shd w:val="clear" w:color="auto" w:fill="auto"/>
            <w:noWrap/>
            <w:vAlign w:val="bottom"/>
            <w:hideMark/>
          </w:tcPr>
          <w:p w14:paraId="348F90A5"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r>
      <w:tr w:rsidR="00AC72CA" w:rsidRPr="002B2821" w14:paraId="0C40125C" w14:textId="77777777" w:rsidTr="0056547A">
        <w:trPr>
          <w:trHeight w:val="277"/>
        </w:trPr>
        <w:tc>
          <w:tcPr>
            <w:tcW w:w="3193" w:type="dxa"/>
            <w:tcBorders>
              <w:top w:val="nil"/>
              <w:left w:val="nil"/>
              <w:bottom w:val="nil"/>
              <w:right w:val="nil"/>
            </w:tcBorders>
            <w:shd w:val="clear" w:color="auto" w:fill="auto"/>
            <w:noWrap/>
            <w:vAlign w:val="bottom"/>
            <w:hideMark/>
          </w:tcPr>
          <w:p w14:paraId="3C7A8F0A"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44CE347F" w14:textId="77777777" w:rsidR="00AC72CA" w:rsidRPr="002B2821" w:rsidRDefault="00AC72CA" w:rsidP="00BC5EE4">
            <w:pPr>
              <w:spacing w:after="0" w:line="240" w:lineRule="auto"/>
              <w:rPr>
                <w:lang w:eastAsia="en-GB"/>
              </w:rPr>
            </w:pPr>
          </w:p>
        </w:tc>
        <w:tc>
          <w:tcPr>
            <w:tcW w:w="1675" w:type="dxa"/>
            <w:tcBorders>
              <w:top w:val="nil"/>
              <w:left w:val="nil"/>
              <w:bottom w:val="nil"/>
              <w:right w:val="nil"/>
            </w:tcBorders>
            <w:shd w:val="clear" w:color="auto" w:fill="auto"/>
            <w:noWrap/>
            <w:vAlign w:val="bottom"/>
            <w:hideMark/>
          </w:tcPr>
          <w:p w14:paraId="35C0D004"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Funds</w:t>
            </w:r>
          </w:p>
        </w:tc>
        <w:tc>
          <w:tcPr>
            <w:tcW w:w="371" w:type="dxa"/>
            <w:tcBorders>
              <w:top w:val="nil"/>
              <w:left w:val="nil"/>
              <w:bottom w:val="nil"/>
              <w:right w:val="nil"/>
            </w:tcBorders>
            <w:shd w:val="clear" w:color="auto" w:fill="auto"/>
            <w:noWrap/>
            <w:vAlign w:val="bottom"/>
            <w:hideMark/>
          </w:tcPr>
          <w:p w14:paraId="40F9082A"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2CBAFD83"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Funds</w:t>
            </w:r>
          </w:p>
        </w:tc>
        <w:tc>
          <w:tcPr>
            <w:tcW w:w="353" w:type="dxa"/>
            <w:tcBorders>
              <w:top w:val="nil"/>
              <w:left w:val="nil"/>
              <w:bottom w:val="nil"/>
              <w:right w:val="nil"/>
            </w:tcBorders>
            <w:shd w:val="clear" w:color="auto" w:fill="auto"/>
            <w:noWrap/>
            <w:vAlign w:val="bottom"/>
            <w:hideMark/>
          </w:tcPr>
          <w:p w14:paraId="1C9C64A8"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550" w:type="dxa"/>
            <w:tcBorders>
              <w:top w:val="nil"/>
              <w:left w:val="nil"/>
              <w:bottom w:val="nil"/>
              <w:right w:val="nil"/>
            </w:tcBorders>
            <w:shd w:val="clear" w:color="auto" w:fill="auto"/>
            <w:noWrap/>
            <w:vAlign w:val="bottom"/>
            <w:hideMark/>
          </w:tcPr>
          <w:p w14:paraId="36CE413F"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2017</w:t>
            </w:r>
          </w:p>
        </w:tc>
        <w:tc>
          <w:tcPr>
            <w:tcW w:w="425" w:type="dxa"/>
            <w:tcBorders>
              <w:top w:val="nil"/>
              <w:left w:val="nil"/>
              <w:bottom w:val="nil"/>
              <w:right w:val="nil"/>
            </w:tcBorders>
            <w:shd w:val="clear" w:color="auto" w:fill="auto"/>
            <w:noWrap/>
            <w:vAlign w:val="bottom"/>
            <w:hideMark/>
          </w:tcPr>
          <w:p w14:paraId="21A9DAEA"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r>
      <w:tr w:rsidR="00AC72CA" w:rsidRPr="002B2821" w14:paraId="4F6C7013" w14:textId="77777777" w:rsidTr="0056547A">
        <w:trPr>
          <w:trHeight w:val="277"/>
        </w:trPr>
        <w:tc>
          <w:tcPr>
            <w:tcW w:w="3193" w:type="dxa"/>
            <w:tcBorders>
              <w:top w:val="nil"/>
              <w:left w:val="nil"/>
              <w:bottom w:val="nil"/>
              <w:right w:val="nil"/>
            </w:tcBorders>
            <w:shd w:val="clear" w:color="auto" w:fill="auto"/>
            <w:noWrap/>
            <w:vAlign w:val="bottom"/>
            <w:hideMark/>
          </w:tcPr>
          <w:p w14:paraId="110D149D"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3DDC7F8F"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Note</w:t>
            </w:r>
          </w:p>
        </w:tc>
        <w:tc>
          <w:tcPr>
            <w:tcW w:w="1675" w:type="dxa"/>
            <w:tcBorders>
              <w:top w:val="nil"/>
              <w:left w:val="nil"/>
              <w:bottom w:val="nil"/>
              <w:right w:val="nil"/>
            </w:tcBorders>
            <w:shd w:val="clear" w:color="auto" w:fill="auto"/>
            <w:noWrap/>
            <w:vAlign w:val="bottom"/>
            <w:hideMark/>
          </w:tcPr>
          <w:p w14:paraId="4F167773"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371" w:type="dxa"/>
            <w:tcBorders>
              <w:top w:val="nil"/>
              <w:left w:val="nil"/>
              <w:bottom w:val="nil"/>
              <w:right w:val="nil"/>
            </w:tcBorders>
            <w:shd w:val="clear" w:color="auto" w:fill="auto"/>
            <w:noWrap/>
            <w:vAlign w:val="bottom"/>
            <w:hideMark/>
          </w:tcPr>
          <w:p w14:paraId="2BF16333"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229" w:type="dxa"/>
            <w:tcBorders>
              <w:top w:val="nil"/>
              <w:left w:val="nil"/>
              <w:bottom w:val="nil"/>
              <w:right w:val="nil"/>
            </w:tcBorders>
            <w:shd w:val="clear" w:color="auto" w:fill="auto"/>
            <w:noWrap/>
            <w:vAlign w:val="bottom"/>
            <w:hideMark/>
          </w:tcPr>
          <w:p w14:paraId="66776EFF"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353" w:type="dxa"/>
            <w:tcBorders>
              <w:top w:val="nil"/>
              <w:left w:val="nil"/>
              <w:bottom w:val="nil"/>
              <w:right w:val="nil"/>
            </w:tcBorders>
            <w:shd w:val="clear" w:color="auto" w:fill="auto"/>
            <w:noWrap/>
            <w:vAlign w:val="bottom"/>
            <w:hideMark/>
          </w:tcPr>
          <w:p w14:paraId="0EEA13D1"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c>
          <w:tcPr>
            <w:tcW w:w="1550" w:type="dxa"/>
            <w:tcBorders>
              <w:top w:val="nil"/>
              <w:left w:val="nil"/>
              <w:bottom w:val="nil"/>
              <w:right w:val="nil"/>
            </w:tcBorders>
            <w:shd w:val="clear" w:color="auto" w:fill="auto"/>
            <w:noWrap/>
            <w:vAlign w:val="bottom"/>
            <w:hideMark/>
          </w:tcPr>
          <w:p w14:paraId="4506F0F9" w14:textId="77777777" w:rsidR="00AC72CA" w:rsidRPr="002B2821" w:rsidRDefault="00AC72CA" w:rsidP="00BC5EE4">
            <w:pPr>
              <w:spacing w:after="0" w:line="240" w:lineRule="auto"/>
              <w:jc w:val="center"/>
              <w:rPr>
                <w:rFonts w:ascii="Calibri" w:hAnsi="Calibri" w:cs="Arial"/>
                <w:b/>
                <w:bCs/>
                <w:color w:val="333399"/>
                <w:sz w:val="24"/>
                <w:szCs w:val="24"/>
                <w:lang w:eastAsia="en-GB"/>
              </w:rPr>
            </w:pPr>
            <w:r w:rsidRPr="002B2821">
              <w:rPr>
                <w:rFonts w:ascii="Calibri" w:hAnsi="Calibri" w:cs="Arial"/>
                <w:b/>
                <w:bCs/>
                <w:color w:val="333399"/>
                <w:sz w:val="24"/>
                <w:szCs w:val="24"/>
                <w:lang w:eastAsia="en-GB"/>
              </w:rPr>
              <w:t>£000s</w:t>
            </w:r>
          </w:p>
        </w:tc>
        <w:tc>
          <w:tcPr>
            <w:tcW w:w="425" w:type="dxa"/>
            <w:tcBorders>
              <w:top w:val="nil"/>
              <w:left w:val="nil"/>
              <w:bottom w:val="nil"/>
              <w:right w:val="nil"/>
            </w:tcBorders>
            <w:shd w:val="clear" w:color="auto" w:fill="auto"/>
            <w:noWrap/>
            <w:vAlign w:val="bottom"/>
            <w:hideMark/>
          </w:tcPr>
          <w:p w14:paraId="36575534" w14:textId="77777777" w:rsidR="00AC72CA" w:rsidRPr="002B2821" w:rsidRDefault="00AC72CA" w:rsidP="00BC5EE4">
            <w:pPr>
              <w:spacing w:after="0" w:line="240" w:lineRule="auto"/>
              <w:jc w:val="center"/>
              <w:rPr>
                <w:rFonts w:ascii="Calibri" w:hAnsi="Calibri" w:cs="Arial"/>
                <w:b/>
                <w:bCs/>
                <w:color w:val="333399"/>
                <w:sz w:val="24"/>
                <w:szCs w:val="24"/>
                <w:lang w:eastAsia="en-GB"/>
              </w:rPr>
            </w:pPr>
          </w:p>
        </w:tc>
      </w:tr>
      <w:tr w:rsidR="00AC72CA" w:rsidRPr="002B2821" w14:paraId="25EB8255" w14:textId="77777777" w:rsidTr="0056547A">
        <w:trPr>
          <w:trHeight w:val="277"/>
        </w:trPr>
        <w:tc>
          <w:tcPr>
            <w:tcW w:w="3193" w:type="dxa"/>
            <w:tcBorders>
              <w:top w:val="nil"/>
              <w:left w:val="nil"/>
              <w:bottom w:val="nil"/>
              <w:right w:val="nil"/>
            </w:tcBorders>
            <w:shd w:val="clear" w:color="auto" w:fill="auto"/>
            <w:noWrap/>
            <w:vAlign w:val="bottom"/>
            <w:hideMark/>
          </w:tcPr>
          <w:p w14:paraId="0E146DFC"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Income from:</w:t>
            </w:r>
          </w:p>
        </w:tc>
        <w:tc>
          <w:tcPr>
            <w:tcW w:w="672" w:type="dxa"/>
            <w:tcBorders>
              <w:top w:val="nil"/>
              <w:left w:val="nil"/>
              <w:bottom w:val="nil"/>
              <w:right w:val="nil"/>
            </w:tcBorders>
            <w:shd w:val="clear" w:color="auto" w:fill="auto"/>
            <w:noWrap/>
            <w:vAlign w:val="bottom"/>
            <w:hideMark/>
          </w:tcPr>
          <w:p w14:paraId="40CC114C"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6FC065A7"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430897BA"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BB18F51"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25D3DA9D"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4B7677C0"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1ADCDBDE" w14:textId="77777777" w:rsidR="00AC72CA" w:rsidRPr="002B2821" w:rsidRDefault="00AC72CA" w:rsidP="00BC5EE4">
            <w:pPr>
              <w:spacing w:after="0" w:line="240" w:lineRule="auto"/>
              <w:jc w:val="right"/>
              <w:rPr>
                <w:lang w:eastAsia="en-GB"/>
              </w:rPr>
            </w:pPr>
          </w:p>
        </w:tc>
      </w:tr>
      <w:tr w:rsidR="00AC72CA" w:rsidRPr="002B2821" w14:paraId="59C730E0" w14:textId="77777777" w:rsidTr="0056547A">
        <w:trPr>
          <w:trHeight w:val="277"/>
        </w:trPr>
        <w:tc>
          <w:tcPr>
            <w:tcW w:w="3193" w:type="dxa"/>
            <w:tcBorders>
              <w:top w:val="nil"/>
              <w:left w:val="nil"/>
              <w:bottom w:val="nil"/>
              <w:right w:val="nil"/>
            </w:tcBorders>
            <w:shd w:val="clear" w:color="auto" w:fill="auto"/>
            <w:noWrap/>
            <w:vAlign w:val="bottom"/>
            <w:hideMark/>
          </w:tcPr>
          <w:p w14:paraId="56F3B093"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Diageo donations</w:t>
            </w:r>
          </w:p>
        </w:tc>
        <w:tc>
          <w:tcPr>
            <w:tcW w:w="672" w:type="dxa"/>
            <w:tcBorders>
              <w:top w:val="nil"/>
              <w:left w:val="nil"/>
              <w:bottom w:val="nil"/>
              <w:right w:val="nil"/>
            </w:tcBorders>
            <w:shd w:val="clear" w:color="auto" w:fill="auto"/>
            <w:noWrap/>
            <w:vAlign w:val="bottom"/>
            <w:hideMark/>
          </w:tcPr>
          <w:p w14:paraId="5DC9CBFF"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3 </w:t>
            </w:r>
          </w:p>
        </w:tc>
        <w:tc>
          <w:tcPr>
            <w:tcW w:w="1675" w:type="dxa"/>
            <w:tcBorders>
              <w:top w:val="nil"/>
              <w:left w:val="nil"/>
              <w:bottom w:val="nil"/>
              <w:right w:val="nil"/>
            </w:tcBorders>
            <w:shd w:val="clear" w:color="auto" w:fill="auto"/>
            <w:noWrap/>
            <w:vAlign w:val="bottom"/>
            <w:hideMark/>
          </w:tcPr>
          <w:p w14:paraId="21A3D240"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39,427 </w:t>
            </w:r>
          </w:p>
        </w:tc>
        <w:tc>
          <w:tcPr>
            <w:tcW w:w="371" w:type="dxa"/>
            <w:tcBorders>
              <w:top w:val="nil"/>
              <w:left w:val="nil"/>
              <w:bottom w:val="nil"/>
              <w:right w:val="nil"/>
            </w:tcBorders>
            <w:shd w:val="clear" w:color="auto" w:fill="auto"/>
            <w:noWrap/>
            <w:vAlign w:val="bottom"/>
            <w:hideMark/>
          </w:tcPr>
          <w:p w14:paraId="24C5A836"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4DD2D39E"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w:t>
            </w:r>
          </w:p>
        </w:tc>
        <w:tc>
          <w:tcPr>
            <w:tcW w:w="353" w:type="dxa"/>
            <w:tcBorders>
              <w:top w:val="nil"/>
              <w:left w:val="nil"/>
              <w:bottom w:val="nil"/>
              <w:right w:val="nil"/>
            </w:tcBorders>
            <w:shd w:val="clear" w:color="auto" w:fill="auto"/>
            <w:noWrap/>
            <w:vAlign w:val="bottom"/>
            <w:hideMark/>
          </w:tcPr>
          <w:p w14:paraId="2C0D307D"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1109E7F5"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39,427 </w:t>
            </w:r>
          </w:p>
        </w:tc>
        <w:tc>
          <w:tcPr>
            <w:tcW w:w="425" w:type="dxa"/>
            <w:tcBorders>
              <w:top w:val="nil"/>
              <w:left w:val="nil"/>
              <w:bottom w:val="nil"/>
              <w:right w:val="nil"/>
            </w:tcBorders>
            <w:shd w:val="clear" w:color="auto" w:fill="auto"/>
            <w:noWrap/>
            <w:vAlign w:val="bottom"/>
            <w:hideMark/>
          </w:tcPr>
          <w:p w14:paraId="44144C7D"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6417426B" w14:textId="77777777" w:rsidTr="0056547A">
        <w:trPr>
          <w:trHeight w:val="277"/>
        </w:trPr>
        <w:tc>
          <w:tcPr>
            <w:tcW w:w="3193" w:type="dxa"/>
            <w:tcBorders>
              <w:top w:val="nil"/>
              <w:left w:val="nil"/>
              <w:bottom w:val="nil"/>
              <w:right w:val="nil"/>
            </w:tcBorders>
            <w:shd w:val="clear" w:color="auto" w:fill="auto"/>
            <w:noWrap/>
            <w:vAlign w:val="bottom"/>
            <w:hideMark/>
          </w:tcPr>
          <w:p w14:paraId="49AAD691"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Health Department Grants</w:t>
            </w:r>
          </w:p>
        </w:tc>
        <w:tc>
          <w:tcPr>
            <w:tcW w:w="672" w:type="dxa"/>
            <w:tcBorders>
              <w:top w:val="nil"/>
              <w:left w:val="nil"/>
              <w:bottom w:val="nil"/>
              <w:right w:val="nil"/>
            </w:tcBorders>
            <w:shd w:val="clear" w:color="auto" w:fill="auto"/>
            <w:noWrap/>
            <w:vAlign w:val="bottom"/>
            <w:hideMark/>
          </w:tcPr>
          <w:p w14:paraId="39F666AC"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5 </w:t>
            </w:r>
          </w:p>
        </w:tc>
        <w:tc>
          <w:tcPr>
            <w:tcW w:w="1675" w:type="dxa"/>
            <w:tcBorders>
              <w:top w:val="nil"/>
              <w:left w:val="nil"/>
              <w:bottom w:val="nil"/>
              <w:right w:val="nil"/>
            </w:tcBorders>
            <w:shd w:val="clear" w:color="auto" w:fill="auto"/>
            <w:noWrap/>
            <w:vAlign w:val="bottom"/>
            <w:hideMark/>
          </w:tcPr>
          <w:p w14:paraId="3CCDA0D6"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371" w:type="dxa"/>
            <w:tcBorders>
              <w:top w:val="nil"/>
              <w:left w:val="nil"/>
              <w:bottom w:val="nil"/>
              <w:right w:val="nil"/>
            </w:tcBorders>
            <w:shd w:val="clear" w:color="auto" w:fill="auto"/>
            <w:noWrap/>
            <w:vAlign w:val="bottom"/>
            <w:hideMark/>
          </w:tcPr>
          <w:p w14:paraId="37A00F1B"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12703EB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8,907 </w:t>
            </w:r>
          </w:p>
        </w:tc>
        <w:tc>
          <w:tcPr>
            <w:tcW w:w="353" w:type="dxa"/>
            <w:tcBorders>
              <w:top w:val="nil"/>
              <w:left w:val="nil"/>
              <w:bottom w:val="nil"/>
              <w:right w:val="nil"/>
            </w:tcBorders>
            <w:shd w:val="clear" w:color="auto" w:fill="auto"/>
            <w:noWrap/>
            <w:vAlign w:val="bottom"/>
            <w:hideMark/>
          </w:tcPr>
          <w:p w14:paraId="772316B8"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182B970B"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8,907 </w:t>
            </w:r>
          </w:p>
        </w:tc>
        <w:tc>
          <w:tcPr>
            <w:tcW w:w="425" w:type="dxa"/>
            <w:tcBorders>
              <w:top w:val="nil"/>
              <w:left w:val="nil"/>
              <w:bottom w:val="nil"/>
              <w:right w:val="nil"/>
            </w:tcBorders>
            <w:shd w:val="clear" w:color="auto" w:fill="auto"/>
            <w:noWrap/>
            <w:vAlign w:val="bottom"/>
            <w:hideMark/>
          </w:tcPr>
          <w:p w14:paraId="5B4E40C2"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F42B079" w14:textId="77777777" w:rsidTr="0056547A">
        <w:trPr>
          <w:trHeight w:val="277"/>
        </w:trPr>
        <w:tc>
          <w:tcPr>
            <w:tcW w:w="3193" w:type="dxa"/>
            <w:tcBorders>
              <w:top w:val="nil"/>
              <w:left w:val="nil"/>
              <w:bottom w:val="nil"/>
              <w:right w:val="nil"/>
            </w:tcBorders>
            <w:shd w:val="clear" w:color="auto" w:fill="auto"/>
            <w:noWrap/>
            <w:vAlign w:val="bottom"/>
            <w:hideMark/>
          </w:tcPr>
          <w:p w14:paraId="6B5BEAF2"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Investment income</w:t>
            </w:r>
          </w:p>
        </w:tc>
        <w:tc>
          <w:tcPr>
            <w:tcW w:w="672" w:type="dxa"/>
            <w:tcBorders>
              <w:top w:val="nil"/>
              <w:left w:val="nil"/>
              <w:bottom w:val="nil"/>
              <w:right w:val="nil"/>
            </w:tcBorders>
            <w:shd w:val="clear" w:color="auto" w:fill="auto"/>
            <w:noWrap/>
            <w:vAlign w:val="bottom"/>
            <w:hideMark/>
          </w:tcPr>
          <w:p w14:paraId="40512B38"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2 </w:t>
            </w:r>
          </w:p>
        </w:tc>
        <w:tc>
          <w:tcPr>
            <w:tcW w:w="1675" w:type="dxa"/>
            <w:tcBorders>
              <w:top w:val="nil"/>
              <w:left w:val="nil"/>
              <w:bottom w:val="nil"/>
              <w:right w:val="nil"/>
            </w:tcBorders>
            <w:shd w:val="clear" w:color="auto" w:fill="auto"/>
            <w:noWrap/>
            <w:vAlign w:val="bottom"/>
            <w:hideMark/>
          </w:tcPr>
          <w:p w14:paraId="04F3CD01"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3,622 </w:t>
            </w:r>
          </w:p>
        </w:tc>
        <w:tc>
          <w:tcPr>
            <w:tcW w:w="371" w:type="dxa"/>
            <w:tcBorders>
              <w:top w:val="nil"/>
              <w:left w:val="nil"/>
              <w:bottom w:val="nil"/>
              <w:right w:val="nil"/>
            </w:tcBorders>
            <w:shd w:val="clear" w:color="auto" w:fill="auto"/>
            <w:noWrap/>
            <w:vAlign w:val="bottom"/>
            <w:hideMark/>
          </w:tcPr>
          <w:p w14:paraId="180C41AF"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9409165"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 </w:t>
            </w:r>
          </w:p>
        </w:tc>
        <w:tc>
          <w:tcPr>
            <w:tcW w:w="353" w:type="dxa"/>
            <w:tcBorders>
              <w:top w:val="nil"/>
              <w:left w:val="nil"/>
              <w:bottom w:val="nil"/>
              <w:right w:val="nil"/>
            </w:tcBorders>
            <w:shd w:val="clear" w:color="auto" w:fill="auto"/>
            <w:noWrap/>
            <w:vAlign w:val="bottom"/>
            <w:hideMark/>
          </w:tcPr>
          <w:p w14:paraId="2D1699B9"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5714135D"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3,631 </w:t>
            </w:r>
          </w:p>
        </w:tc>
        <w:tc>
          <w:tcPr>
            <w:tcW w:w="425" w:type="dxa"/>
            <w:tcBorders>
              <w:top w:val="nil"/>
              <w:left w:val="nil"/>
              <w:bottom w:val="nil"/>
              <w:right w:val="nil"/>
            </w:tcBorders>
            <w:shd w:val="clear" w:color="auto" w:fill="auto"/>
            <w:noWrap/>
            <w:vAlign w:val="bottom"/>
            <w:hideMark/>
          </w:tcPr>
          <w:p w14:paraId="3837C9BA"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59F4ECE3" w14:textId="77777777" w:rsidTr="0056547A">
        <w:trPr>
          <w:trHeight w:val="277"/>
        </w:trPr>
        <w:tc>
          <w:tcPr>
            <w:tcW w:w="3193" w:type="dxa"/>
            <w:tcBorders>
              <w:top w:val="nil"/>
              <w:left w:val="nil"/>
              <w:bottom w:val="nil"/>
              <w:right w:val="nil"/>
            </w:tcBorders>
            <w:shd w:val="clear" w:color="auto" w:fill="auto"/>
            <w:noWrap/>
            <w:vAlign w:val="bottom"/>
            <w:hideMark/>
          </w:tcPr>
          <w:p w14:paraId="4C78EBDF"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Other income</w:t>
            </w:r>
          </w:p>
        </w:tc>
        <w:tc>
          <w:tcPr>
            <w:tcW w:w="672" w:type="dxa"/>
            <w:tcBorders>
              <w:top w:val="nil"/>
              <w:left w:val="nil"/>
              <w:bottom w:val="nil"/>
              <w:right w:val="nil"/>
            </w:tcBorders>
            <w:shd w:val="clear" w:color="auto" w:fill="auto"/>
            <w:noWrap/>
            <w:vAlign w:val="bottom"/>
            <w:hideMark/>
          </w:tcPr>
          <w:p w14:paraId="55FDA2A7"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7E55B5E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260 </w:t>
            </w:r>
          </w:p>
        </w:tc>
        <w:tc>
          <w:tcPr>
            <w:tcW w:w="371" w:type="dxa"/>
            <w:tcBorders>
              <w:top w:val="nil"/>
              <w:left w:val="nil"/>
              <w:bottom w:val="nil"/>
              <w:right w:val="nil"/>
            </w:tcBorders>
            <w:shd w:val="clear" w:color="auto" w:fill="auto"/>
            <w:noWrap/>
            <w:vAlign w:val="bottom"/>
            <w:hideMark/>
          </w:tcPr>
          <w:p w14:paraId="393186CA"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C0CBBB0"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w:t>
            </w:r>
          </w:p>
        </w:tc>
        <w:tc>
          <w:tcPr>
            <w:tcW w:w="353" w:type="dxa"/>
            <w:tcBorders>
              <w:top w:val="nil"/>
              <w:left w:val="nil"/>
              <w:bottom w:val="nil"/>
              <w:right w:val="nil"/>
            </w:tcBorders>
            <w:shd w:val="clear" w:color="auto" w:fill="auto"/>
            <w:noWrap/>
            <w:vAlign w:val="bottom"/>
            <w:hideMark/>
          </w:tcPr>
          <w:p w14:paraId="4F8933A4"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5D8EF936"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260 </w:t>
            </w:r>
          </w:p>
        </w:tc>
        <w:tc>
          <w:tcPr>
            <w:tcW w:w="425" w:type="dxa"/>
            <w:tcBorders>
              <w:top w:val="nil"/>
              <w:left w:val="nil"/>
              <w:bottom w:val="nil"/>
              <w:right w:val="nil"/>
            </w:tcBorders>
            <w:shd w:val="clear" w:color="auto" w:fill="auto"/>
            <w:noWrap/>
            <w:vAlign w:val="bottom"/>
            <w:hideMark/>
          </w:tcPr>
          <w:p w14:paraId="50FB7644"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1530E258" w14:textId="77777777" w:rsidTr="0056547A">
        <w:trPr>
          <w:trHeight w:val="277"/>
        </w:trPr>
        <w:tc>
          <w:tcPr>
            <w:tcW w:w="3193" w:type="dxa"/>
            <w:tcBorders>
              <w:top w:val="nil"/>
              <w:left w:val="nil"/>
              <w:bottom w:val="nil"/>
              <w:right w:val="nil"/>
            </w:tcBorders>
            <w:shd w:val="clear" w:color="auto" w:fill="auto"/>
            <w:noWrap/>
            <w:vAlign w:val="bottom"/>
            <w:hideMark/>
          </w:tcPr>
          <w:p w14:paraId="2430A6AB"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7976BEAA" w14:textId="77777777" w:rsidR="00AC72CA" w:rsidRPr="002B2821" w:rsidRDefault="00AC72CA" w:rsidP="00BC5EE4">
            <w:pPr>
              <w:spacing w:after="0" w:line="240" w:lineRule="auto"/>
              <w:rPr>
                <w:lang w:eastAsia="en-GB"/>
              </w:rPr>
            </w:pPr>
          </w:p>
        </w:tc>
        <w:tc>
          <w:tcPr>
            <w:tcW w:w="1675" w:type="dxa"/>
            <w:tcBorders>
              <w:top w:val="nil"/>
              <w:left w:val="nil"/>
              <w:bottom w:val="nil"/>
              <w:right w:val="nil"/>
            </w:tcBorders>
            <w:shd w:val="clear" w:color="auto" w:fill="auto"/>
            <w:noWrap/>
            <w:vAlign w:val="bottom"/>
            <w:hideMark/>
          </w:tcPr>
          <w:p w14:paraId="5B7D8A13"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7A26E0BA"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0883A01"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45260AB6"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5F75B37E"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4173DEA3" w14:textId="77777777" w:rsidR="00AC72CA" w:rsidRPr="002B2821" w:rsidRDefault="00AC72CA" w:rsidP="00BC5EE4">
            <w:pPr>
              <w:spacing w:after="0" w:line="240" w:lineRule="auto"/>
              <w:jc w:val="right"/>
              <w:rPr>
                <w:lang w:eastAsia="en-GB"/>
              </w:rPr>
            </w:pPr>
          </w:p>
        </w:tc>
      </w:tr>
      <w:tr w:rsidR="00AC72CA" w:rsidRPr="002B2821" w14:paraId="24152C88" w14:textId="77777777" w:rsidTr="0056547A">
        <w:trPr>
          <w:trHeight w:val="277"/>
        </w:trPr>
        <w:tc>
          <w:tcPr>
            <w:tcW w:w="3193" w:type="dxa"/>
            <w:tcBorders>
              <w:top w:val="nil"/>
              <w:left w:val="nil"/>
              <w:bottom w:val="nil"/>
              <w:right w:val="nil"/>
            </w:tcBorders>
            <w:shd w:val="clear" w:color="auto" w:fill="auto"/>
            <w:noWrap/>
            <w:vAlign w:val="bottom"/>
            <w:hideMark/>
          </w:tcPr>
          <w:p w14:paraId="0F67F641"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Total</w:t>
            </w:r>
          </w:p>
        </w:tc>
        <w:tc>
          <w:tcPr>
            <w:tcW w:w="672" w:type="dxa"/>
            <w:tcBorders>
              <w:top w:val="nil"/>
              <w:left w:val="nil"/>
              <w:bottom w:val="nil"/>
              <w:right w:val="nil"/>
            </w:tcBorders>
            <w:shd w:val="clear" w:color="auto" w:fill="auto"/>
            <w:noWrap/>
            <w:vAlign w:val="bottom"/>
            <w:hideMark/>
          </w:tcPr>
          <w:p w14:paraId="225EDC81"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single" w:sz="4" w:space="0" w:color="000000"/>
              <w:left w:val="nil"/>
              <w:bottom w:val="single" w:sz="4" w:space="0" w:color="000000"/>
              <w:right w:val="nil"/>
            </w:tcBorders>
            <w:shd w:val="clear" w:color="auto" w:fill="auto"/>
            <w:noWrap/>
            <w:vAlign w:val="bottom"/>
            <w:hideMark/>
          </w:tcPr>
          <w:p w14:paraId="2C3DFFE1"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43,309 </w:t>
            </w:r>
          </w:p>
        </w:tc>
        <w:tc>
          <w:tcPr>
            <w:tcW w:w="371" w:type="dxa"/>
            <w:tcBorders>
              <w:top w:val="nil"/>
              <w:left w:val="nil"/>
              <w:bottom w:val="nil"/>
              <w:right w:val="nil"/>
            </w:tcBorders>
            <w:shd w:val="clear" w:color="auto" w:fill="auto"/>
            <w:noWrap/>
            <w:vAlign w:val="bottom"/>
            <w:hideMark/>
          </w:tcPr>
          <w:p w14:paraId="618E2B5C"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single" w:sz="4" w:space="0" w:color="000000"/>
              <w:left w:val="nil"/>
              <w:bottom w:val="single" w:sz="4" w:space="0" w:color="000000"/>
              <w:right w:val="nil"/>
            </w:tcBorders>
            <w:shd w:val="clear" w:color="auto" w:fill="auto"/>
            <w:noWrap/>
            <w:vAlign w:val="bottom"/>
            <w:hideMark/>
          </w:tcPr>
          <w:p w14:paraId="2622535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8,916 </w:t>
            </w:r>
          </w:p>
        </w:tc>
        <w:tc>
          <w:tcPr>
            <w:tcW w:w="353" w:type="dxa"/>
            <w:tcBorders>
              <w:top w:val="nil"/>
              <w:left w:val="nil"/>
              <w:bottom w:val="nil"/>
              <w:right w:val="nil"/>
            </w:tcBorders>
            <w:shd w:val="clear" w:color="auto" w:fill="auto"/>
            <w:noWrap/>
            <w:vAlign w:val="bottom"/>
            <w:hideMark/>
          </w:tcPr>
          <w:p w14:paraId="0DE43887"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single" w:sz="4" w:space="0" w:color="000000"/>
              <w:left w:val="nil"/>
              <w:bottom w:val="single" w:sz="4" w:space="0" w:color="000000"/>
              <w:right w:val="nil"/>
            </w:tcBorders>
            <w:shd w:val="clear" w:color="auto" w:fill="auto"/>
            <w:noWrap/>
            <w:vAlign w:val="bottom"/>
            <w:hideMark/>
          </w:tcPr>
          <w:p w14:paraId="0759598E"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52,225 </w:t>
            </w:r>
          </w:p>
        </w:tc>
        <w:tc>
          <w:tcPr>
            <w:tcW w:w="425" w:type="dxa"/>
            <w:tcBorders>
              <w:top w:val="nil"/>
              <w:left w:val="nil"/>
              <w:bottom w:val="nil"/>
              <w:right w:val="nil"/>
            </w:tcBorders>
            <w:shd w:val="clear" w:color="auto" w:fill="auto"/>
            <w:noWrap/>
            <w:vAlign w:val="bottom"/>
            <w:hideMark/>
          </w:tcPr>
          <w:p w14:paraId="09CD4D25"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585C229" w14:textId="77777777" w:rsidTr="0056547A">
        <w:trPr>
          <w:trHeight w:val="277"/>
        </w:trPr>
        <w:tc>
          <w:tcPr>
            <w:tcW w:w="3193" w:type="dxa"/>
            <w:tcBorders>
              <w:top w:val="nil"/>
              <w:left w:val="nil"/>
              <w:bottom w:val="nil"/>
              <w:right w:val="nil"/>
            </w:tcBorders>
            <w:shd w:val="clear" w:color="auto" w:fill="auto"/>
            <w:noWrap/>
            <w:vAlign w:val="bottom"/>
            <w:hideMark/>
          </w:tcPr>
          <w:p w14:paraId="5B5A17B3"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2A4C1402" w14:textId="77777777" w:rsidR="00AC72CA" w:rsidRPr="002B2821" w:rsidRDefault="00AC72CA" w:rsidP="00BC5EE4">
            <w:pPr>
              <w:spacing w:after="0" w:line="240" w:lineRule="auto"/>
              <w:rPr>
                <w:lang w:eastAsia="en-GB"/>
              </w:rPr>
            </w:pPr>
          </w:p>
        </w:tc>
        <w:tc>
          <w:tcPr>
            <w:tcW w:w="1675" w:type="dxa"/>
            <w:tcBorders>
              <w:top w:val="nil"/>
              <w:left w:val="nil"/>
              <w:bottom w:val="nil"/>
              <w:right w:val="nil"/>
            </w:tcBorders>
            <w:shd w:val="clear" w:color="auto" w:fill="auto"/>
            <w:noWrap/>
            <w:vAlign w:val="bottom"/>
            <w:hideMark/>
          </w:tcPr>
          <w:p w14:paraId="43A84C5F"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2A86A278"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0A1393CA"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2C1956B8"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63209C5F"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751BC5F2" w14:textId="77777777" w:rsidR="00AC72CA" w:rsidRPr="002B2821" w:rsidRDefault="00AC72CA" w:rsidP="00BC5EE4">
            <w:pPr>
              <w:spacing w:after="0" w:line="240" w:lineRule="auto"/>
              <w:jc w:val="right"/>
              <w:rPr>
                <w:lang w:eastAsia="en-GB"/>
              </w:rPr>
            </w:pPr>
          </w:p>
        </w:tc>
      </w:tr>
      <w:tr w:rsidR="00AC72CA" w:rsidRPr="002B2821" w14:paraId="60D8BF92" w14:textId="77777777" w:rsidTr="0056547A">
        <w:trPr>
          <w:trHeight w:val="277"/>
        </w:trPr>
        <w:tc>
          <w:tcPr>
            <w:tcW w:w="3193" w:type="dxa"/>
            <w:tcBorders>
              <w:top w:val="nil"/>
              <w:left w:val="nil"/>
              <w:bottom w:val="nil"/>
              <w:right w:val="nil"/>
            </w:tcBorders>
            <w:shd w:val="clear" w:color="auto" w:fill="auto"/>
            <w:noWrap/>
            <w:vAlign w:val="bottom"/>
            <w:hideMark/>
          </w:tcPr>
          <w:p w14:paraId="37767271"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Expenditure on raising funds:</w:t>
            </w:r>
          </w:p>
        </w:tc>
        <w:tc>
          <w:tcPr>
            <w:tcW w:w="672" w:type="dxa"/>
            <w:tcBorders>
              <w:top w:val="nil"/>
              <w:left w:val="nil"/>
              <w:bottom w:val="nil"/>
              <w:right w:val="nil"/>
            </w:tcBorders>
            <w:shd w:val="clear" w:color="auto" w:fill="auto"/>
            <w:noWrap/>
            <w:vAlign w:val="bottom"/>
            <w:hideMark/>
          </w:tcPr>
          <w:p w14:paraId="561120D5"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6A2565AA"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37BA263E"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7B59D92F"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40EDD6E9"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7F5A85C7"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4ECB1B07" w14:textId="77777777" w:rsidR="00AC72CA" w:rsidRPr="002B2821" w:rsidRDefault="00AC72CA" w:rsidP="00BC5EE4">
            <w:pPr>
              <w:spacing w:after="0" w:line="240" w:lineRule="auto"/>
              <w:jc w:val="right"/>
              <w:rPr>
                <w:lang w:eastAsia="en-GB"/>
              </w:rPr>
            </w:pPr>
          </w:p>
        </w:tc>
      </w:tr>
      <w:tr w:rsidR="00AC72CA" w:rsidRPr="002B2821" w14:paraId="5582865B" w14:textId="77777777" w:rsidTr="0056547A">
        <w:trPr>
          <w:trHeight w:val="277"/>
        </w:trPr>
        <w:tc>
          <w:tcPr>
            <w:tcW w:w="3193" w:type="dxa"/>
            <w:tcBorders>
              <w:top w:val="nil"/>
              <w:left w:val="nil"/>
              <w:bottom w:val="nil"/>
              <w:right w:val="nil"/>
            </w:tcBorders>
            <w:shd w:val="clear" w:color="auto" w:fill="auto"/>
            <w:noWrap/>
            <w:vAlign w:val="bottom"/>
            <w:hideMark/>
          </w:tcPr>
          <w:p w14:paraId="763A30AF"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Investment management fees </w:t>
            </w:r>
          </w:p>
        </w:tc>
        <w:tc>
          <w:tcPr>
            <w:tcW w:w="672" w:type="dxa"/>
            <w:tcBorders>
              <w:top w:val="nil"/>
              <w:left w:val="nil"/>
              <w:bottom w:val="nil"/>
              <w:right w:val="nil"/>
            </w:tcBorders>
            <w:shd w:val="clear" w:color="auto" w:fill="auto"/>
            <w:noWrap/>
            <w:vAlign w:val="bottom"/>
            <w:hideMark/>
          </w:tcPr>
          <w:p w14:paraId="316A91F3"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4,6</w:t>
            </w:r>
          </w:p>
        </w:tc>
        <w:tc>
          <w:tcPr>
            <w:tcW w:w="1675" w:type="dxa"/>
            <w:tcBorders>
              <w:top w:val="nil"/>
              <w:left w:val="nil"/>
              <w:bottom w:val="nil"/>
              <w:right w:val="nil"/>
            </w:tcBorders>
            <w:shd w:val="clear" w:color="auto" w:fill="auto"/>
            <w:noWrap/>
            <w:vAlign w:val="bottom"/>
            <w:hideMark/>
          </w:tcPr>
          <w:p w14:paraId="606DF22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(350)</w:t>
            </w:r>
          </w:p>
        </w:tc>
        <w:tc>
          <w:tcPr>
            <w:tcW w:w="371" w:type="dxa"/>
            <w:tcBorders>
              <w:top w:val="nil"/>
              <w:left w:val="nil"/>
              <w:bottom w:val="nil"/>
              <w:right w:val="nil"/>
            </w:tcBorders>
            <w:shd w:val="clear" w:color="auto" w:fill="auto"/>
            <w:noWrap/>
            <w:vAlign w:val="bottom"/>
            <w:hideMark/>
          </w:tcPr>
          <w:p w14:paraId="74F01BC2"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A65CDE6"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w:t>
            </w:r>
          </w:p>
        </w:tc>
        <w:tc>
          <w:tcPr>
            <w:tcW w:w="353" w:type="dxa"/>
            <w:tcBorders>
              <w:top w:val="nil"/>
              <w:left w:val="nil"/>
              <w:bottom w:val="nil"/>
              <w:right w:val="nil"/>
            </w:tcBorders>
            <w:shd w:val="clear" w:color="auto" w:fill="auto"/>
            <w:noWrap/>
            <w:vAlign w:val="bottom"/>
            <w:hideMark/>
          </w:tcPr>
          <w:p w14:paraId="6E98C419"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75A7E13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(350)</w:t>
            </w:r>
          </w:p>
        </w:tc>
        <w:tc>
          <w:tcPr>
            <w:tcW w:w="425" w:type="dxa"/>
            <w:tcBorders>
              <w:top w:val="nil"/>
              <w:left w:val="nil"/>
              <w:bottom w:val="nil"/>
              <w:right w:val="nil"/>
            </w:tcBorders>
            <w:shd w:val="clear" w:color="auto" w:fill="auto"/>
            <w:noWrap/>
            <w:vAlign w:val="bottom"/>
            <w:hideMark/>
          </w:tcPr>
          <w:p w14:paraId="44784882"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3AA604C" w14:textId="77777777" w:rsidTr="0056547A">
        <w:trPr>
          <w:trHeight w:val="277"/>
        </w:trPr>
        <w:tc>
          <w:tcPr>
            <w:tcW w:w="3193" w:type="dxa"/>
            <w:tcBorders>
              <w:top w:val="nil"/>
              <w:left w:val="nil"/>
              <w:bottom w:val="nil"/>
              <w:right w:val="nil"/>
            </w:tcBorders>
            <w:shd w:val="clear" w:color="auto" w:fill="auto"/>
            <w:noWrap/>
            <w:vAlign w:val="bottom"/>
            <w:hideMark/>
          </w:tcPr>
          <w:p w14:paraId="0B6936D1"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Administrative costs</w:t>
            </w:r>
          </w:p>
        </w:tc>
        <w:tc>
          <w:tcPr>
            <w:tcW w:w="672" w:type="dxa"/>
            <w:tcBorders>
              <w:top w:val="nil"/>
              <w:left w:val="nil"/>
              <w:bottom w:val="nil"/>
              <w:right w:val="nil"/>
            </w:tcBorders>
            <w:shd w:val="clear" w:color="auto" w:fill="auto"/>
            <w:noWrap/>
            <w:vAlign w:val="bottom"/>
            <w:hideMark/>
          </w:tcPr>
          <w:p w14:paraId="5E6896AA"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4,6</w:t>
            </w:r>
          </w:p>
        </w:tc>
        <w:tc>
          <w:tcPr>
            <w:tcW w:w="1675" w:type="dxa"/>
            <w:tcBorders>
              <w:top w:val="nil"/>
              <w:left w:val="nil"/>
              <w:bottom w:val="nil"/>
              <w:right w:val="nil"/>
            </w:tcBorders>
            <w:shd w:val="clear" w:color="auto" w:fill="auto"/>
            <w:noWrap/>
            <w:vAlign w:val="bottom"/>
            <w:hideMark/>
          </w:tcPr>
          <w:p w14:paraId="6D68CE13"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(21)</w:t>
            </w:r>
          </w:p>
        </w:tc>
        <w:tc>
          <w:tcPr>
            <w:tcW w:w="371" w:type="dxa"/>
            <w:tcBorders>
              <w:top w:val="nil"/>
              <w:left w:val="nil"/>
              <w:bottom w:val="nil"/>
              <w:right w:val="nil"/>
            </w:tcBorders>
            <w:shd w:val="clear" w:color="auto" w:fill="auto"/>
            <w:noWrap/>
            <w:vAlign w:val="bottom"/>
            <w:hideMark/>
          </w:tcPr>
          <w:p w14:paraId="68B69254"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F18A238"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(4)</w:t>
            </w:r>
          </w:p>
        </w:tc>
        <w:tc>
          <w:tcPr>
            <w:tcW w:w="353" w:type="dxa"/>
            <w:tcBorders>
              <w:top w:val="nil"/>
              <w:left w:val="nil"/>
              <w:bottom w:val="nil"/>
              <w:right w:val="nil"/>
            </w:tcBorders>
            <w:shd w:val="clear" w:color="auto" w:fill="auto"/>
            <w:noWrap/>
            <w:vAlign w:val="bottom"/>
            <w:hideMark/>
          </w:tcPr>
          <w:p w14:paraId="2F1401EE"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2D9ADB28"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w:t>
            </w:r>
          </w:p>
        </w:tc>
        <w:tc>
          <w:tcPr>
            <w:tcW w:w="425" w:type="dxa"/>
            <w:tcBorders>
              <w:top w:val="nil"/>
              <w:left w:val="nil"/>
              <w:bottom w:val="nil"/>
              <w:right w:val="nil"/>
            </w:tcBorders>
            <w:shd w:val="clear" w:color="auto" w:fill="auto"/>
            <w:noWrap/>
            <w:vAlign w:val="bottom"/>
            <w:hideMark/>
          </w:tcPr>
          <w:p w14:paraId="28D66340"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7C73CED1" w14:textId="77777777" w:rsidTr="0056547A">
        <w:trPr>
          <w:trHeight w:val="277"/>
        </w:trPr>
        <w:tc>
          <w:tcPr>
            <w:tcW w:w="3193" w:type="dxa"/>
            <w:tcBorders>
              <w:top w:val="nil"/>
              <w:left w:val="nil"/>
              <w:bottom w:val="nil"/>
              <w:right w:val="nil"/>
            </w:tcBorders>
            <w:shd w:val="clear" w:color="auto" w:fill="auto"/>
            <w:noWrap/>
            <w:vAlign w:val="bottom"/>
            <w:hideMark/>
          </w:tcPr>
          <w:p w14:paraId="7A3D1979"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Expenditure on charitable activities</w:t>
            </w:r>
          </w:p>
        </w:tc>
        <w:tc>
          <w:tcPr>
            <w:tcW w:w="672" w:type="dxa"/>
            <w:tcBorders>
              <w:top w:val="nil"/>
              <w:left w:val="nil"/>
              <w:bottom w:val="nil"/>
              <w:right w:val="nil"/>
            </w:tcBorders>
            <w:shd w:val="clear" w:color="auto" w:fill="auto"/>
            <w:noWrap/>
            <w:vAlign w:val="bottom"/>
            <w:hideMark/>
          </w:tcPr>
          <w:p w14:paraId="15073D4E"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51C7A709"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735FEBF8"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41EC71EB"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26DB22B5"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3FCF4788"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0DF7F4B7" w14:textId="77777777" w:rsidR="00AC72CA" w:rsidRPr="002B2821" w:rsidRDefault="00AC72CA" w:rsidP="00BC5EE4">
            <w:pPr>
              <w:spacing w:after="0" w:line="240" w:lineRule="auto"/>
              <w:jc w:val="right"/>
              <w:rPr>
                <w:lang w:eastAsia="en-GB"/>
              </w:rPr>
            </w:pPr>
          </w:p>
        </w:tc>
      </w:tr>
      <w:tr w:rsidR="00AC72CA" w:rsidRPr="002B2821" w14:paraId="54DC7858" w14:textId="77777777" w:rsidTr="0056547A">
        <w:trPr>
          <w:trHeight w:val="277"/>
        </w:trPr>
        <w:tc>
          <w:tcPr>
            <w:tcW w:w="3193" w:type="dxa"/>
            <w:tcBorders>
              <w:top w:val="nil"/>
              <w:left w:val="nil"/>
              <w:bottom w:val="nil"/>
              <w:right w:val="nil"/>
            </w:tcBorders>
            <w:shd w:val="clear" w:color="auto" w:fill="auto"/>
            <w:noWrap/>
            <w:vAlign w:val="bottom"/>
            <w:hideMark/>
          </w:tcPr>
          <w:p w14:paraId="01D22CED"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Grants</w:t>
            </w:r>
          </w:p>
        </w:tc>
        <w:tc>
          <w:tcPr>
            <w:tcW w:w="672" w:type="dxa"/>
            <w:tcBorders>
              <w:top w:val="nil"/>
              <w:left w:val="nil"/>
              <w:bottom w:val="nil"/>
              <w:right w:val="nil"/>
            </w:tcBorders>
            <w:shd w:val="clear" w:color="auto" w:fill="auto"/>
            <w:noWrap/>
            <w:vAlign w:val="bottom"/>
            <w:hideMark/>
          </w:tcPr>
          <w:p w14:paraId="77124375"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5 </w:t>
            </w:r>
          </w:p>
        </w:tc>
        <w:tc>
          <w:tcPr>
            <w:tcW w:w="1675" w:type="dxa"/>
            <w:tcBorders>
              <w:top w:val="nil"/>
              <w:left w:val="nil"/>
              <w:bottom w:val="nil"/>
              <w:right w:val="nil"/>
            </w:tcBorders>
            <w:shd w:val="clear" w:color="auto" w:fill="auto"/>
            <w:noWrap/>
            <w:vAlign w:val="bottom"/>
            <w:hideMark/>
          </w:tcPr>
          <w:p w14:paraId="12B2C4A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(45,459)</w:t>
            </w:r>
          </w:p>
        </w:tc>
        <w:tc>
          <w:tcPr>
            <w:tcW w:w="371" w:type="dxa"/>
            <w:tcBorders>
              <w:top w:val="nil"/>
              <w:left w:val="nil"/>
              <w:bottom w:val="nil"/>
              <w:right w:val="nil"/>
            </w:tcBorders>
            <w:shd w:val="clear" w:color="auto" w:fill="auto"/>
            <w:noWrap/>
            <w:vAlign w:val="bottom"/>
            <w:hideMark/>
          </w:tcPr>
          <w:p w14:paraId="6F2F5A30"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06A3D8A1"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(10,326)</w:t>
            </w:r>
          </w:p>
        </w:tc>
        <w:tc>
          <w:tcPr>
            <w:tcW w:w="353" w:type="dxa"/>
            <w:tcBorders>
              <w:top w:val="nil"/>
              <w:left w:val="nil"/>
              <w:bottom w:val="nil"/>
              <w:right w:val="nil"/>
            </w:tcBorders>
            <w:shd w:val="clear" w:color="auto" w:fill="auto"/>
            <w:noWrap/>
            <w:vAlign w:val="bottom"/>
            <w:hideMark/>
          </w:tcPr>
          <w:p w14:paraId="56BA4F43"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447F8EB6"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(55,785)</w:t>
            </w:r>
          </w:p>
        </w:tc>
        <w:tc>
          <w:tcPr>
            <w:tcW w:w="425" w:type="dxa"/>
            <w:tcBorders>
              <w:top w:val="nil"/>
              <w:left w:val="nil"/>
              <w:bottom w:val="nil"/>
              <w:right w:val="nil"/>
            </w:tcBorders>
            <w:shd w:val="clear" w:color="auto" w:fill="auto"/>
            <w:noWrap/>
            <w:vAlign w:val="bottom"/>
            <w:hideMark/>
          </w:tcPr>
          <w:p w14:paraId="6C92BFFF"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58E01226" w14:textId="77777777" w:rsidTr="0056547A">
        <w:trPr>
          <w:trHeight w:val="277"/>
        </w:trPr>
        <w:tc>
          <w:tcPr>
            <w:tcW w:w="3193" w:type="dxa"/>
            <w:tcBorders>
              <w:top w:val="nil"/>
              <w:left w:val="nil"/>
              <w:bottom w:val="nil"/>
              <w:right w:val="nil"/>
            </w:tcBorders>
            <w:shd w:val="clear" w:color="auto" w:fill="auto"/>
            <w:noWrap/>
            <w:vAlign w:val="bottom"/>
            <w:hideMark/>
          </w:tcPr>
          <w:p w14:paraId="2901B896"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xml:space="preserve">Costs of </w:t>
            </w:r>
            <w:proofErr w:type="spellStart"/>
            <w:r w:rsidRPr="002B2821">
              <w:rPr>
                <w:rFonts w:ascii="Calibri" w:hAnsi="Calibri" w:cs="Arial"/>
                <w:color w:val="000000"/>
                <w:sz w:val="24"/>
                <w:szCs w:val="24"/>
                <w:lang w:eastAsia="en-GB"/>
              </w:rPr>
              <w:t>Grantmaking</w:t>
            </w:r>
            <w:proofErr w:type="spellEnd"/>
          </w:p>
        </w:tc>
        <w:tc>
          <w:tcPr>
            <w:tcW w:w="672" w:type="dxa"/>
            <w:tcBorders>
              <w:top w:val="nil"/>
              <w:left w:val="nil"/>
              <w:bottom w:val="nil"/>
              <w:right w:val="nil"/>
            </w:tcBorders>
            <w:shd w:val="clear" w:color="auto" w:fill="auto"/>
            <w:noWrap/>
            <w:vAlign w:val="bottom"/>
            <w:hideMark/>
          </w:tcPr>
          <w:p w14:paraId="42132C8E"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675" w:type="dxa"/>
            <w:tcBorders>
              <w:top w:val="nil"/>
              <w:left w:val="nil"/>
              <w:bottom w:val="nil"/>
              <w:right w:val="nil"/>
            </w:tcBorders>
            <w:shd w:val="clear" w:color="auto" w:fill="auto"/>
            <w:noWrap/>
            <w:vAlign w:val="bottom"/>
            <w:hideMark/>
          </w:tcPr>
          <w:p w14:paraId="74A12A2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(109)</w:t>
            </w:r>
          </w:p>
        </w:tc>
        <w:tc>
          <w:tcPr>
            <w:tcW w:w="371" w:type="dxa"/>
            <w:tcBorders>
              <w:top w:val="nil"/>
              <w:left w:val="nil"/>
              <w:bottom w:val="nil"/>
              <w:right w:val="nil"/>
            </w:tcBorders>
            <w:shd w:val="clear" w:color="auto" w:fill="auto"/>
            <w:noWrap/>
            <w:vAlign w:val="bottom"/>
            <w:hideMark/>
          </w:tcPr>
          <w:p w14:paraId="65DB5A48"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B2371D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(90)</w:t>
            </w:r>
          </w:p>
        </w:tc>
        <w:tc>
          <w:tcPr>
            <w:tcW w:w="353" w:type="dxa"/>
            <w:tcBorders>
              <w:top w:val="nil"/>
              <w:left w:val="nil"/>
              <w:bottom w:val="nil"/>
              <w:right w:val="nil"/>
            </w:tcBorders>
            <w:shd w:val="clear" w:color="auto" w:fill="auto"/>
            <w:noWrap/>
            <w:vAlign w:val="bottom"/>
            <w:hideMark/>
          </w:tcPr>
          <w:p w14:paraId="09D43934"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2DA3346B"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(199)</w:t>
            </w:r>
          </w:p>
        </w:tc>
        <w:tc>
          <w:tcPr>
            <w:tcW w:w="425" w:type="dxa"/>
            <w:tcBorders>
              <w:top w:val="nil"/>
              <w:left w:val="nil"/>
              <w:bottom w:val="nil"/>
              <w:right w:val="nil"/>
            </w:tcBorders>
            <w:shd w:val="clear" w:color="auto" w:fill="auto"/>
            <w:noWrap/>
            <w:vAlign w:val="bottom"/>
            <w:hideMark/>
          </w:tcPr>
          <w:p w14:paraId="691EAD02"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1254C74" w14:textId="77777777" w:rsidTr="0056547A">
        <w:trPr>
          <w:trHeight w:val="277"/>
        </w:trPr>
        <w:tc>
          <w:tcPr>
            <w:tcW w:w="3193" w:type="dxa"/>
            <w:tcBorders>
              <w:top w:val="nil"/>
              <w:left w:val="nil"/>
              <w:bottom w:val="nil"/>
              <w:right w:val="nil"/>
            </w:tcBorders>
            <w:shd w:val="clear" w:color="auto" w:fill="auto"/>
            <w:noWrap/>
            <w:vAlign w:val="bottom"/>
            <w:hideMark/>
          </w:tcPr>
          <w:p w14:paraId="27250F47"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Beneficiary Support costs</w:t>
            </w:r>
          </w:p>
        </w:tc>
        <w:tc>
          <w:tcPr>
            <w:tcW w:w="672" w:type="dxa"/>
            <w:tcBorders>
              <w:top w:val="nil"/>
              <w:left w:val="nil"/>
              <w:bottom w:val="nil"/>
              <w:right w:val="nil"/>
            </w:tcBorders>
            <w:shd w:val="clear" w:color="auto" w:fill="auto"/>
            <w:noWrap/>
            <w:vAlign w:val="bottom"/>
            <w:hideMark/>
          </w:tcPr>
          <w:p w14:paraId="53C7D79B"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675" w:type="dxa"/>
            <w:tcBorders>
              <w:top w:val="nil"/>
              <w:left w:val="nil"/>
              <w:bottom w:val="nil"/>
              <w:right w:val="nil"/>
            </w:tcBorders>
            <w:shd w:val="clear" w:color="auto" w:fill="auto"/>
            <w:noWrap/>
            <w:vAlign w:val="bottom"/>
            <w:hideMark/>
          </w:tcPr>
          <w:p w14:paraId="34A733B8"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(409)</w:t>
            </w:r>
          </w:p>
        </w:tc>
        <w:tc>
          <w:tcPr>
            <w:tcW w:w="371" w:type="dxa"/>
            <w:tcBorders>
              <w:top w:val="nil"/>
              <w:left w:val="nil"/>
              <w:bottom w:val="nil"/>
              <w:right w:val="nil"/>
            </w:tcBorders>
            <w:shd w:val="clear" w:color="auto" w:fill="auto"/>
            <w:noWrap/>
            <w:vAlign w:val="bottom"/>
            <w:hideMark/>
          </w:tcPr>
          <w:p w14:paraId="0D77EE97"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4D08DB0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(244)</w:t>
            </w:r>
          </w:p>
        </w:tc>
        <w:tc>
          <w:tcPr>
            <w:tcW w:w="353" w:type="dxa"/>
            <w:tcBorders>
              <w:top w:val="nil"/>
              <w:left w:val="nil"/>
              <w:bottom w:val="nil"/>
              <w:right w:val="nil"/>
            </w:tcBorders>
            <w:shd w:val="clear" w:color="auto" w:fill="auto"/>
            <w:noWrap/>
            <w:vAlign w:val="bottom"/>
            <w:hideMark/>
          </w:tcPr>
          <w:p w14:paraId="67C7F3B5"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7CDD683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(653)</w:t>
            </w:r>
          </w:p>
        </w:tc>
        <w:tc>
          <w:tcPr>
            <w:tcW w:w="425" w:type="dxa"/>
            <w:tcBorders>
              <w:top w:val="nil"/>
              <w:left w:val="nil"/>
              <w:bottom w:val="nil"/>
              <w:right w:val="nil"/>
            </w:tcBorders>
            <w:shd w:val="clear" w:color="auto" w:fill="auto"/>
            <w:noWrap/>
            <w:vAlign w:val="bottom"/>
            <w:hideMark/>
          </w:tcPr>
          <w:p w14:paraId="54F4747A"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269C06B5" w14:textId="77777777" w:rsidTr="0056547A">
        <w:trPr>
          <w:trHeight w:val="277"/>
        </w:trPr>
        <w:tc>
          <w:tcPr>
            <w:tcW w:w="3193" w:type="dxa"/>
            <w:tcBorders>
              <w:top w:val="nil"/>
              <w:left w:val="nil"/>
              <w:bottom w:val="nil"/>
              <w:right w:val="nil"/>
            </w:tcBorders>
            <w:shd w:val="clear" w:color="auto" w:fill="auto"/>
            <w:noWrap/>
            <w:vAlign w:val="bottom"/>
            <w:hideMark/>
          </w:tcPr>
          <w:p w14:paraId="4EF2D9B4"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Other costs</w:t>
            </w:r>
          </w:p>
        </w:tc>
        <w:tc>
          <w:tcPr>
            <w:tcW w:w="672" w:type="dxa"/>
            <w:tcBorders>
              <w:top w:val="nil"/>
              <w:left w:val="nil"/>
              <w:bottom w:val="nil"/>
              <w:right w:val="nil"/>
            </w:tcBorders>
            <w:shd w:val="clear" w:color="auto" w:fill="auto"/>
            <w:noWrap/>
            <w:vAlign w:val="bottom"/>
            <w:hideMark/>
          </w:tcPr>
          <w:p w14:paraId="5596A6E1"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6 </w:t>
            </w:r>
          </w:p>
        </w:tc>
        <w:tc>
          <w:tcPr>
            <w:tcW w:w="1675" w:type="dxa"/>
            <w:tcBorders>
              <w:top w:val="nil"/>
              <w:left w:val="nil"/>
              <w:bottom w:val="nil"/>
              <w:right w:val="nil"/>
            </w:tcBorders>
            <w:shd w:val="clear" w:color="auto" w:fill="auto"/>
            <w:noWrap/>
            <w:vAlign w:val="bottom"/>
            <w:hideMark/>
          </w:tcPr>
          <w:p w14:paraId="0F8CF370"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(217)</w:t>
            </w:r>
          </w:p>
        </w:tc>
        <w:tc>
          <w:tcPr>
            <w:tcW w:w="371" w:type="dxa"/>
            <w:tcBorders>
              <w:top w:val="nil"/>
              <w:left w:val="nil"/>
              <w:bottom w:val="nil"/>
              <w:right w:val="nil"/>
            </w:tcBorders>
            <w:shd w:val="clear" w:color="auto" w:fill="auto"/>
            <w:noWrap/>
            <w:vAlign w:val="bottom"/>
            <w:hideMark/>
          </w:tcPr>
          <w:p w14:paraId="2D63C02B"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66CFF91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(37)</w:t>
            </w:r>
          </w:p>
        </w:tc>
        <w:tc>
          <w:tcPr>
            <w:tcW w:w="353" w:type="dxa"/>
            <w:tcBorders>
              <w:top w:val="nil"/>
              <w:left w:val="nil"/>
              <w:bottom w:val="nil"/>
              <w:right w:val="nil"/>
            </w:tcBorders>
            <w:shd w:val="clear" w:color="auto" w:fill="auto"/>
            <w:noWrap/>
            <w:vAlign w:val="bottom"/>
            <w:hideMark/>
          </w:tcPr>
          <w:p w14:paraId="53943F39"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794A534E"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(254)</w:t>
            </w:r>
          </w:p>
        </w:tc>
        <w:tc>
          <w:tcPr>
            <w:tcW w:w="425" w:type="dxa"/>
            <w:tcBorders>
              <w:top w:val="nil"/>
              <w:left w:val="nil"/>
              <w:bottom w:val="nil"/>
              <w:right w:val="nil"/>
            </w:tcBorders>
            <w:shd w:val="clear" w:color="auto" w:fill="auto"/>
            <w:noWrap/>
            <w:vAlign w:val="bottom"/>
            <w:hideMark/>
          </w:tcPr>
          <w:p w14:paraId="336AE33A"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0523B9E0" w14:textId="77777777" w:rsidTr="0056547A">
        <w:trPr>
          <w:trHeight w:val="277"/>
        </w:trPr>
        <w:tc>
          <w:tcPr>
            <w:tcW w:w="3193" w:type="dxa"/>
            <w:tcBorders>
              <w:top w:val="nil"/>
              <w:left w:val="nil"/>
              <w:bottom w:val="nil"/>
              <w:right w:val="nil"/>
            </w:tcBorders>
            <w:shd w:val="clear" w:color="auto" w:fill="auto"/>
            <w:noWrap/>
            <w:vAlign w:val="bottom"/>
            <w:hideMark/>
          </w:tcPr>
          <w:p w14:paraId="4ABA110A"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Net increase in Memorandum</w:t>
            </w:r>
          </w:p>
        </w:tc>
        <w:tc>
          <w:tcPr>
            <w:tcW w:w="672" w:type="dxa"/>
            <w:tcBorders>
              <w:top w:val="nil"/>
              <w:left w:val="nil"/>
              <w:bottom w:val="nil"/>
              <w:right w:val="nil"/>
            </w:tcBorders>
            <w:shd w:val="clear" w:color="auto" w:fill="auto"/>
            <w:noWrap/>
            <w:vAlign w:val="bottom"/>
            <w:hideMark/>
          </w:tcPr>
          <w:p w14:paraId="5F2C8AD1"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10,11</w:t>
            </w:r>
          </w:p>
        </w:tc>
        <w:tc>
          <w:tcPr>
            <w:tcW w:w="1675" w:type="dxa"/>
            <w:tcBorders>
              <w:top w:val="nil"/>
              <w:left w:val="nil"/>
              <w:bottom w:val="nil"/>
              <w:right w:val="nil"/>
            </w:tcBorders>
            <w:shd w:val="clear" w:color="auto" w:fill="auto"/>
            <w:noWrap/>
            <w:vAlign w:val="bottom"/>
            <w:hideMark/>
          </w:tcPr>
          <w:p w14:paraId="4AD65A21"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250 </w:t>
            </w:r>
          </w:p>
        </w:tc>
        <w:tc>
          <w:tcPr>
            <w:tcW w:w="371" w:type="dxa"/>
            <w:tcBorders>
              <w:top w:val="nil"/>
              <w:left w:val="nil"/>
              <w:bottom w:val="nil"/>
              <w:right w:val="nil"/>
            </w:tcBorders>
            <w:shd w:val="clear" w:color="auto" w:fill="auto"/>
            <w:noWrap/>
            <w:vAlign w:val="bottom"/>
            <w:hideMark/>
          </w:tcPr>
          <w:p w14:paraId="1C4C748A"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3C1F8FB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353" w:type="dxa"/>
            <w:tcBorders>
              <w:top w:val="nil"/>
              <w:left w:val="nil"/>
              <w:bottom w:val="nil"/>
              <w:right w:val="nil"/>
            </w:tcBorders>
            <w:shd w:val="clear" w:color="auto" w:fill="auto"/>
            <w:noWrap/>
            <w:vAlign w:val="bottom"/>
            <w:hideMark/>
          </w:tcPr>
          <w:p w14:paraId="21D991E3"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32BE779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250 </w:t>
            </w:r>
          </w:p>
        </w:tc>
        <w:tc>
          <w:tcPr>
            <w:tcW w:w="425" w:type="dxa"/>
            <w:tcBorders>
              <w:top w:val="nil"/>
              <w:left w:val="nil"/>
              <w:bottom w:val="nil"/>
              <w:right w:val="nil"/>
            </w:tcBorders>
            <w:shd w:val="clear" w:color="auto" w:fill="auto"/>
            <w:noWrap/>
            <w:vAlign w:val="bottom"/>
            <w:hideMark/>
          </w:tcPr>
          <w:p w14:paraId="4FFF0305"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1945750E" w14:textId="77777777" w:rsidTr="0056547A">
        <w:trPr>
          <w:trHeight w:val="277"/>
        </w:trPr>
        <w:tc>
          <w:tcPr>
            <w:tcW w:w="3193" w:type="dxa"/>
            <w:tcBorders>
              <w:top w:val="nil"/>
              <w:left w:val="nil"/>
              <w:bottom w:val="nil"/>
              <w:right w:val="nil"/>
            </w:tcBorders>
            <w:shd w:val="clear" w:color="auto" w:fill="auto"/>
            <w:noWrap/>
            <w:vAlign w:val="bottom"/>
            <w:hideMark/>
          </w:tcPr>
          <w:p w14:paraId="469E7ECC"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Account Balances</w:t>
            </w:r>
          </w:p>
        </w:tc>
        <w:tc>
          <w:tcPr>
            <w:tcW w:w="672" w:type="dxa"/>
            <w:tcBorders>
              <w:top w:val="nil"/>
              <w:left w:val="nil"/>
              <w:bottom w:val="nil"/>
              <w:right w:val="nil"/>
            </w:tcBorders>
            <w:shd w:val="clear" w:color="auto" w:fill="auto"/>
            <w:noWrap/>
            <w:vAlign w:val="bottom"/>
            <w:hideMark/>
          </w:tcPr>
          <w:p w14:paraId="49732955"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620577D2"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06D29A3F"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58740607"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76181BA6"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15E998BB"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3D95074A" w14:textId="77777777" w:rsidR="00AC72CA" w:rsidRPr="002B2821" w:rsidRDefault="00AC72CA" w:rsidP="00BC5EE4">
            <w:pPr>
              <w:spacing w:after="0" w:line="240" w:lineRule="auto"/>
              <w:jc w:val="right"/>
              <w:rPr>
                <w:lang w:eastAsia="en-GB"/>
              </w:rPr>
            </w:pPr>
          </w:p>
        </w:tc>
      </w:tr>
      <w:tr w:rsidR="00AC72CA" w:rsidRPr="002B2821" w14:paraId="1BCA8B2A" w14:textId="77777777" w:rsidTr="0056547A">
        <w:trPr>
          <w:trHeight w:val="277"/>
        </w:trPr>
        <w:tc>
          <w:tcPr>
            <w:tcW w:w="3193" w:type="dxa"/>
            <w:tcBorders>
              <w:top w:val="nil"/>
              <w:left w:val="nil"/>
              <w:bottom w:val="nil"/>
              <w:right w:val="nil"/>
            </w:tcBorders>
            <w:shd w:val="clear" w:color="auto" w:fill="auto"/>
            <w:noWrap/>
            <w:vAlign w:val="bottom"/>
            <w:hideMark/>
          </w:tcPr>
          <w:p w14:paraId="18A86564"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Total</w:t>
            </w:r>
          </w:p>
        </w:tc>
        <w:tc>
          <w:tcPr>
            <w:tcW w:w="672" w:type="dxa"/>
            <w:tcBorders>
              <w:top w:val="nil"/>
              <w:left w:val="nil"/>
              <w:bottom w:val="nil"/>
              <w:right w:val="nil"/>
            </w:tcBorders>
            <w:shd w:val="clear" w:color="auto" w:fill="auto"/>
            <w:noWrap/>
            <w:vAlign w:val="bottom"/>
            <w:hideMark/>
          </w:tcPr>
          <w:p w14:paraId="0F4675DD"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single" w:sz="4" w:space="0" w:color="000000"/>
              <w:left w:val="nil"/>
              <w:bottom w:val="single" w:sz="4" w:space="0" w:color="000000"/>
              <w:right w:val="nil"/>
            </w:tcBorders>
            <w:shd w:val="clear" w:color="auto" w:fill="auto"/>
            <w:noWrap/>
            <w:vAlign w:val="bottom"/>
            <w:hideMark/>
          </w:tcPr>
          <w:p w14:paraId="1D244C2B"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(46,315)</w:t>
            </w:r>
          </w:p>
        </w:tc>
        <w:tc>
          <w:tcPr>
            <w:tcW w:w="371" w:type="dxa"/>
            <w:tcBorders>
              <w:top w:val="nil"/>
              <w:left w:val="nil"/>
              <w:bottom w:val="nil"/>
              <w:right w:val="nil"/>
            </w:tcBorders>
            <w:shd w:val="clear" w:color="auto" w:fill="auto"/>
            <w:noWrap/>
            <w:vAlign w:val="bottom"/>
            <w:hideMark/>
          </w:tcPr>
          <w:p w14:paraId="148ADFE5"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single" w:sz="4" w:space="0" w:color="000000"/>
              <w:left w:val="nil"/>
              <w:bottom w:val="single" w:sz="4" w:space="0" w:color="000000"/>
              <w:right w:val="nil"/>
            </w:tcBorders>
            <w:shd w:val="clear" w:color="auto" w:fill="auto"/>
            <w:noWrap/>
            <w:vAlign w:val="bottom"/>
            <w:hideMark/>
          </w:tcPr>
          <w:p w14:paraId="2EBC189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(10,701)</w:t>
            </w:r>
          </w:p>
        </w:tc>
        <w:tc>
          <w:tcPr>
            <w:tcW w:w="353" w:type="dxa"/>
            <w:tcBorders>
              <w:top w:val="nil"/>
              <w:left w:val="nil"/>
              <w:bottom w:val="nil"/>
              <w:right w:val="nil"/>
            </w:tcBorders>
            <w:shd w:val="clear" w:color="auto" w:fill="auto"/>
            <w:noWrap/>
            <w:vAlign w:val="bottom"/>
            <w:hideMark/>
          </w:tcPr>
          <w:p w14:paraId="01089F92"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single" w:sz="4" w:space="0" w:color="000000"/>
              <w:left w:val="nil"/>
              <w:bottom w:val="single" w:sz="4" w:space="0" w:color="000000"/>
              <w:right w:val="nil"/>
            </w:tcBorders>
            <w:shd w:val="clear" w:color="auto" w:fill="auto"/>
            <w:noWrap/>
            <w:vAlign w:val="bottom"/>
            <w:hideMark/>
          </w:tcPr>
          <w:p w14:paraId="42DE4C6D"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(57,016)</w:t>
            </w:r>
          </w:p>
        </w:tc>
        <w:tc>
          <w:tcPr>
            <w:tcW w:w="425" w:type="dxa"/>
            <w:tcBorders>
              <w:top w:val="nil"/>
              <w:left w:val="nil"/>
              <w:bottom w:val="nil"/>
              <w:right w:val="nil"/>
            </w:tcBorders>
            <w:shd w:val="clear" w:color="auto" w:fill="auto"/>
            <w:noWrap/>
            <w:vAlign w:val="bottom"/>
            <w:hideMark/>
          </w:tcPr>
          <w:p w14:paraId="6526C7C4"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74B41714" w14:textId="77777777" w:rsidTr="0056547A">
        <w:trPr>
          <w:trHeight w:val="277"/>
        </w:trPr>
        <w:tc>
          <w:tcPr>
            <w:tcW w:w="3193" w:type="dxa"/>
            <w:tcBorders>
              <w:top w:val="nil"/>
              <w:left w:val="nil"/>
              <w:bottom w:val="nil"/>
              <w:right w:val="nil"/>
            </w:tcBorders>
            <w:shd w:val="clear" w:color="auto" w:fill="auto"/>
            <w:noWrap/>
            <w:vAlign w:val="bottom"/>
            <w:hideMark/>
          </w:tcPr>
          <w:p w14:paraId="44497F62"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52A8A41F" w14:textId="77777777" w:rsidR="00AC72CA" w:rsidRPr="002B2821" w:rsidRDefault="00AC72CA" w:rsidP="00BC5EE4">
            <w:pPr>
              <w:spacing w:after="0" w:line="240" w:lineRule="auto"/>
              <w:rPr>
                <w:lang w:eastAsia="en-GB"/>
              </w:rPr>
            </w:pPr>
          </w:p>
        </w:tc>
        <w:tc>
          <w:tcPr>
            <w:tcW w:w="1675" w:type="dxa"/>
            <w:tcBorders>
              <w:top w:val="nil"/>
              <w:left w:val="nil"/>
              <w:bottom w:val="nil"/>
              <w:right w:val="nil"/>
            </w:tcBorders>
            <w:shd w:val="clear" w:color="auto" w:fill="auto"/>
            <w:noWrap/>
            <w:vAlign w:val="bottom"/>
            <w:hideMark/>
          </w:tcPr>
          <w:p w14:paraId="2AAD2B14"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505A74BB"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93D1B4D"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784D2BFD"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439D9301"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0F1D5E37" w14:textId="77777777" w:rsidR="00AC72CA" w:rsidRPr="002B2821" w:rsidRDefault="00AC72CA" w:rsidP="00BC5EE4">
            <w:pPr>
              <w:spacing w:after="0" w:line="240" w:lineRule="auto"/>
              <w:jc w:val="right"/>
              <w:rPr>
                <w:lang w:eastAsia="en-GB"/>
              </w:rPr>
            </w:pPr>
          </w:p>
        </w:tc>
      </w:tr>
      <w:tr w:rsidR="00AC72CA" w:rsidRPr="002B2821" w14:paraId="5686EF5A" w14:textId="77777777" w:rsidTr="0056547A">
        <w:trPr>
          <w:trHeight w:val="277"/>
        </w:trPr>
        <w:tc>
          <w:tcPr>
            <w:tcW w:w="3193" w:type="dxa"/>
            <w:tcBorders>
              <w:top w:val="nil"/>
              <w:left w:val="nil"/>
              <w:bottom w:val="nil"/>
              <w:right w:val="nil"/>
            </w:tcBorders>
            <w:shd w:val="clear" w:color="auto" w:fill="auto"/>
            <w:noWrap/>
            <w:vAlign w:val="bottom"/>
            <w:hideMark/>
          </w:tcPr>
          <w:p w14:paraId="3BE655D3"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Net gains on investments</w:t>
            </w:r>
          </w:p>
        </w:tc>
        <w:tc>
          <w:tcPr>
            <w:tcW w:w="672" w:type="dxa"/>
            <w:tcBorders>
              <w:top w:val="nil"/>
              <w:left w:val="nil"/>
              <w:bottom w:val="nil"/>
              <w:right w:val="nil"/>
            </w:tcBorders>
            <w:shd w:val="clear" w:color="auto" w:fill="auto"/>
            <w:noWrap/>
            <w:vAlign w:val="bottom"/>
            <w:hideMark/>
          </w:tcPr>
          <w:p w14:paraId="0E77475D"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9 </w:t>
            </w:r>
          </w:p>
        </w:tc>
        <w:tc>
          <w:tcPr>
            <w:tcW w:w="1675" w:type="dxa"/>
            <w:tcBorders>
              <w:top w:val="nil"/>
              <w:left w:val="nil"/>
              <w:bottom w:val="nil"/>
              <w:right w:val="nil"/>
            </w:tcBorders>
            <w:shd w:val="clear" w:color="auto" w:fill="auto"/>
            <w:noWrap/>
            <w:vAlign w:val="bottom"/>
            <w:hideMark/>
          </w:tcPr>
          <w:p w14:paraId="10F967B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13,933 </w:t>
            </w:r>
          </w:p>
        </w:tc>
        <w:tc>
          <w:tcPr>
            <w:tcW w:w="371" w:type="dxa"/>
            <w:tcBorders>
              <w:top w:val="nil"/>
              <w:left w:val="nil"/>
              <w:bottom w:val="nil"/>
              <w:right w:val="nil"/>
            </w:tcBorders>
            <w:shd w:val="clear" w:color="auto" w:fill="auto"/>
            <w:noWrap/>
            <w:vAlign w:val="bottom"/>
            <w:hideMark/>
          </w:tcPr>
          <w:p w14:paraId="4B0DBD43"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692299FD"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 </w:t>
            </w:r>
          </w:p>
        </w:tc>
        <w:tc>
          <w:tcPr>
            <w:tcW w:w="353" w:type="dxa"/>
            <w:tcBorders>
              <w:top w:val="nil"/>
              <w:left w:val="nil"/>
              <w:bottom w:val="nil"/>
              <w:right w:val="nil"/>
            </w:tcBorders>
            <w:shd w:val="clear" w:color="auto" w:fill="auto"/>
            <w:noWrap/>
            <w:vAlign w:val="bottom"/>
            <w:hideMark/>
          </w:tcPr>
          <w:p w14:paraId="6F7A7944"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488B174B"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13,933 </w:t>
            </w:r>
          </w:p>
        </w:tc>
        <w:tc>
          <w:tcPr>
            <w:tcW w:w="425" w:type="dxa"/>
            <w:tcBorders>
              <w:top w:val="nil"/>
              <w:left w:val="nil"/>
              <w:bottom w:val="nil"/>
              <w:right w:val="nil"/>
            </w:tcBorders>
            <w:shd w:val="clear" w:color="auto" w:fill="auto"/>
            <w:noWrap/>
            <w:vAlign w:val="bottom"/>
            <w:hideMark/>
          </w:tcPr>
          <w:p w14:paraId="1B09802D"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2B935504" w14:textId="77777777" w:rsidTr="0056547A">
        <w:trPr>
          <w:trHeight w:val="277"/>
        </w:trPr>
        <w:tc>
          <w:tcPr>
            <w:tcW w:w="3193" w:type="dxa"/>
            <w:tcBorders>
              <w:top w:val="nil"/>
              <w:left w:val="nil"/>
              <w:bottom w:val="nil"/>
              <w:right w:val="nil"/>
            </w:tcBorders>
            <w:shd w:val="clear" w:color="auto" w:fill="auto"/>
            <w:noWrap/>
            <w:vAlign w:val="bottom"/>
            <w:hideMark/>
          </w:tcPr>
          <w:p w14:paraId="11992198" w14:textId="3BBE5730"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Net income</w:t>
            </w:r>
            <w:r>
              <w:rPr>
                <w:rFonts w:ascii="Calibri" w:hAnsi="Calibri" w:cs="Arial"/>
                <w:color w:val="000000"/>
                <w:sz w:val="24"/>
                <w:szCs w:val="24"/>
                <w:lang w:eastAsia="en-GB"/>
              </w:rPr>
              <w:t>/</w:t>
            </w:r>
            <w:r w:rsidRPr="002B2821">
              <w:rPr>
                <w:rFonts w:ascii="Calibri" w:hAnsi="Calibri" w:cs="Arial"/>
                <w:color w:val="000000"/>
                <w:sz w:val="24"/>
                <w:szCs w:val="24"/>
                <w:lang w:eastAsia="en-GB"/>
              </w:rPr>
              <w:t>(expenditure)</w:t>
            </w:r>
          </w:p>
        </w:tc>
        <w:tc>
          <w:tcPr>
            <w:tcW w:w="672" w:type="dxa"/>
            <w:tcBorders>
              <w:top w:val="nil"/>
              <w:left w:val="nil"/>
              <w:bottom w:val="nil"/>
              <w:right w:val="nil"/>
            </w:tcBorders>
            <w:shd w:val="clear" w:color="auto" w:fill="auto"/>
            <w:noWrap/>
            <w:vAlign w:val="bottom"/>
            <w:hideMark/>
          </w:tcPr>
          <w:p w14:paraId="3AAA8C27"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single" w:sz="4" w:space="0" w:color="3C3C3C"/>
              <w:left w:val="nil"/>
              <w:bottom w:val="nil"/>
              <w:right w:val="nil"/>
            </w:tcBorders>
            <w:shd w:val="clear" w:color="auto" w:fill="auto"/>
            <w:noWrap/>
            <w:vAlign w:val="bottom"/>
            <w:hideMark/>
          </w:tcPr>
          <w:p w14:paraId="3BCF7608"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10,927 </w:t>
            </w:r>
          </w:p>
        </w:tc>
        <w:tc>
          <w:tcPr>
            <w:tcW w:w="371" w:type="dxa"/>
            <w:tcBorders>
              <w:top w:val="nil"/>
              <w:left w:val="nil"/>
              <w:bottom w:val="nil"/>
              <w:right w:val="nil"/>
            </w:tcBorders>
            <w:shd w:val="clear" w:color="auto" w:fill="auto"/>
            <w:noWrap/>
            <w:vAlign w:val="bottom"/>
            <w:hideMark/>
          </w:tcPr>
          <w:p w14:paraId="20EFDDC9"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single" w:sz="4" w:space="0" w:color="3C3C3C"/>
              <w:left w:val="nil"/>
              <w:bottom w:val="nil"/>
              <w:right w:val="nil"/>
            </w:tcBorders>
            <w:shd w:val="clear" w:color="auto" w:fill="auto"/>
            <w:noWrap/>
            <w:vAlign w:val="bottom"/>
            <w:hideMark/>
          </w:tcPr>
          <w:p w14:paraId="2D1C296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(1,785)</w:t>
            </w:r>
          </w:p>
        </w:tc>
        <w:tc>
          <w:tcPr>
            <w:tcW w:w="353" w:type="dxa"/>
            <w:tcBorders>
              <w:top w:val="nil"/>
              <w:left w:val="nil"/>
              <w:bottom w:val="nil"/>
              <w:right w:val="nil"/>
            </w:tcBorders>
            <w:shd w:val="clear" w:color="auto" w:fill="auto"/>
            <w:noWrap/>
            <w:vAlign w:val="bottom"/>
            <w:hideMark/>
          </w:tcPr>
          <w:p w14:paraId="2C6E50C1"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single" w:sz="4" w:space="0" w:color="3C3C3C"/>
              <w:left w:val="nil"/>
              <w:bottom w:val="nil"/>
              <w:right w:val="nil"/>
            </w:tcBorders>
            <w:shd w:val="clear" w:color="auto" w:fill="auto"/>
            <w:noWrap/>
            <w:vAlign w:val="bottom"/>
            <w:hideMark/>
          </w:tcPr>
          <w:p w14:paraId="1F1CD641"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9,142 </w:t>
            </w:r>
          </w:p>
        </w:tc>
        <w:tc>
          <w:tcPr>
            <w:tcW w:w="425" w:type="dxa"/>
            <w:tcBorders>
              <w:top w:val="nil"/>
              <w:left w:val="nil"/>
              <w:bottom w:val="nil"/>
              <w:right w:val="nil"/>
            </w:tcBorders>
            <w:shd w:val="clear" w:color="auto" w:fill="auto"/>
            <w:noWrap/>
            <w:vAlign w:val="bottom"/>
            <w:hideMark/>
          </w:tcPr>
          <w:p w14:paraId="305442CC"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445E0E3" w14:textId="77777777" w:rsidTr="0056547A">
        <w:trPr>
          <w:trHeight w:val="277"/>
        </w:trPr>
        <w:tc>
          <w:tcPr>
            <w:tcW w:w="3193" w:type="dxa"/>
            <w:tcBorders>
              <w:top w:val="nil"/>
              <w:left w:val="nil"/>
              <w:bottom w:val="nil"/>
              <w:right w:val="nil"/>
            </w:tcBorders>
            <w:shd w:val="clear" w:color="auto" w:fill="auto"/>
            <w:noWrap/>
            <w:vAlign w:val="bottom"/>
            <w:hideMark/>
          </w:tcPr>
          <w:p w14:paraId="4E314A2D"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Transfers between funds</w:t>
            </w:r>
          </w:p>
        </w:tc>
        <w:tc>
          <w:tcPr>
            <w:tcW w:w="672" w:type="dxa"/>
            <w:tcBorders>
              <w:top w:val="nil"/>
              <w:left w:val="nil"/>
              <w:bottom w:val="nil"/>
              <w:right w:val="nil"/>
            </w:tcBorders>
            <w:shd w:val="clear" w:color="auto" w:fill="auto"/>
            <w:noWrap/>
            <w:vAlign w:val="bottom"/>
            <w:hideMark/>
          </w:tcPr>
          <w:p w14:paraId="53F78460"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599E4385"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371" w:type="dxa"/>
            <w:tcBorders>
              <w:top w:val="nil"/>
              <w:left w:val="nil"/>
              <w:bottom w:val="nil"/>
              <w:right w:val="nil"/>
            </w:tcBorders>
            <w:shd w:val="clear" w:color="auto" w:fill="auto"/>
            <w:noWrap/>
            <w:vAlign w:val="bottom"/>
            <w:hideMark/>
          </w:tcPr>
          <w:p w14:paraId="27912DB1"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0792BA1E"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353" w:type="dxa"/>
            <w:tcBorders>
              <w:top w:val="nil"/>
              <w:left w:val="nil"/>
              <w:bottom w:val="nil"/>
              <w:right w:val="nil"/>
            </w:tcBorders>
            <w:shd w:val="clear" w:color="auto" w:fill="auto"/>
            <w:noWrap/>
            <w:vAlign w:val="bottom"/>
            <w:hideMark/>
          </w:tcPr>
          <w:p w14:paraId="22FACA12"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0A26DEB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w:t>
            </w:r>
          </w:p>
        </w:tc>
        <w:tc>
          <w:tcPr>
            <w:tcW w:w="425" w:type="dxa"/>
            <w:tcBorders>
              <w:top w:val="nil"/>
              <w:left w:val="nil"/>
              <w:bottom w:val="nil"/>
              <w:right w:val="nil"/>
            </w:tcBorders>
            <w:shd w:val="clear" w:color="auto" w:fill="auto"/>
            <w:noWrap/>
            <w:vAlign w:val="bottom"/>
            <w:hideMark/>
          </w:tcPr>
          <w:p w14:paraId="103B0BF1"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03C11745" w14:textId="77777777" w:rsidTr="0056547A">
        <w:trPr>
          <w:trHeight w:val="277"/>
        </w:trPr>
        <w:tc>
          <w:tcPr>
            <w:tcW w:w="3193" w:type="dxa"/>
            <w:tcBorders>
              <w:top w:val="nil"/>
              <w:left w:val="nil"/>
              <w:bottom w:val="nil"/>
              <w:right w:val="nil"/>
            </w:tcBorders>
            <w:shd w:val="clear" w:color="auto" w:fill="auto"/>
            <w:noWrap/>
            <w:vAlign w:val="bottom"/>
            <w:hideMark/>
          </w:tcPr>
          <w:p w14:paraId="47D1311E"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3F561EC5" w14:textId="77777777" w:rsidR="00AC72CA" w:rsidRPr="002B2821" w:rsidRDefault="00AC72CA" w:rsidP="00BC5EE4">
            <w:pPr>
              <w:spacing w:after="0" w:line="240" w:lineRule="auto"/>
              <w:rPr>
                <w:lang w:eastAsia="en-GB"/>
              </w:rPr>
            </w:pPr>
          </w:p>
        </w:tc>
        <w:tc>
          <w:tcPr>
            <w:tcW w:w="1675" w:type="dxa"/>
            <w:tcBorders>
              <w:top w:val="nil"/>
              <w:left w:val="nil"/>
              <w:bottom w:val="single" w:sz="4" w:space="0" w:color="000000"/>
              <w:right w:val="nil"/>
            </w:tcBorders>
            <w:shd w:val="clear" w:color="auto" w:fill="auto"/>
            <w:noWrap/>
            <w:vAlign w:val="bottom"/>
            <w:hideMark/>
          </w:tcPr>
          <w:p w14:paraId="65E7415B"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371" w:type="dxa"/>
            <w:tcBorders>
              <w:top w:val="nil"/>
              <w:left w:val="nil"/>
              <w:bottom w:val="nil"/>
              <w:right w:val="nil"/>
            </w:tcBorders>
            <w:shd w:val="clear" w:color="auto" w:fill="auto"/>
            <w:noWrap/>
            <w:vAlign w:val="bottom"/>
            <w:hideMark/>
          </w:tcPr>
          <w:p w14:paraId="73C33F6F"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229" w:type="dxa"/>
            <w:tcBorders>
              <w:top w:val="nil"/>
              <w:left w:val="nil"/>
              <w:bottom w:val="single" w:sz="4" w:space="0" w:color="000000"/>
              <w:right w:val="nil"/>
            </w:tcBorders>
            <w:shd w:val="clear" w:color="auto" w:fill="auto"/>
            <w:noWrap/>
            <w:vAlign w:val="bottom"/>
            <w:hideMark/>
          </w:tcPr>
          <w:p w14:paraId="24657D70"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353" w:type="dxa"/>
            <w:tcBorders>
              <w:top w:val="nil"/>
              <w:left w:val="nil"/>
              <w:bottom w:val="nil"/>
              <w:right w:val="nil"/>
            </w:tcBorders>
            <w:shd w:val="clear" w:color="auto" w:fill="auto"/>
            <w:noWrap/>
            <w:vAlign w:val="bottom"/>
            <w:hideMark/>
          </w:tcPr>
          <w:p w14:paraId="6489EBC1"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550" w:type="dxa"/>
            <w:tcBorders>
              <w:top w:val="nil"/>
              <w:left w:val="nil"/>
              <w:bottom w:val="single" w:sz="4" w:space="0" w:color="000000"/>
              <w:right w:val="nil"/>
            </w:tcBorders>
            <w:shd w:val="clear" w:color="auto" w:fill="auto"/>
            <w:noWrap/>
            <w:vAlign w:val="bottom"/>
            <w:hideMark/>
          </w:tcPr>
          <w:p w14:paraId="1A26428D"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w:t>
            </w:r>
          </w:p>
        </w:tc>
        <w:tc>
          <w:tcPr>
            <w:tcW w:w="425" w:type="dxa"/>
            <w:tcBorders>
              <w:top w:val="nil"/>
              <w:left w:val="nil"/>
              <w:bottom w:val="nil"/>
              <w:right w:val="nil"/>
            </w:tcBorders>
            <w:shd w:val="clear" w:color="auto" w:fill="auto"/>
            <w:noWrap/>
            <w:vAlign w:val="bottom"/>
            <w:hideMark/>
          </w:tcPr>
          <w:p w14:paraId="48D3E33B"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6CF43EEF" w14:textId="77777777" w:rsidTr="0056547A">
        <w:trPr>
          <w:trHeight w:val="277"/>
        </w:trPr>
        <w:tc>
          <w:tcPr>
            <w:tcW w:w="3193" w:type="dxa"/>
            <w:tcBorders>
              <w:top w:val="nil"/>
              <w:left w:val="nil"/>
              <w:bottom w:val="nil"/>
              <w:right w:val="nil"/>
            </w:tcBorders>
            <w:shd w:val="clear" w:color="auto" w:fill="auto"/>
            <w:noWrap/>
            <w:vAlign w:val="bottom"/>
            <w:hideMark/>
          </w:tcPr>
          <w:p w14:paraId="21A65476"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Net movement in funds</w:t>
            </w:r>
          </w:p>
        </w:tc>
        <w:tc>
          <w:tcPr>
            <w:tcW w:w="672" w:type="dxa"/>
            <w:tcBorders>
              <w:top w:val="nil"/>
              <w:left w:val="nil"/>
              <w:bottom w:val="nil"/>
              <w:right w:val="nil"/>
            </w:tcBorders>
            <w:shd w:val="clear" w:color="auto" w:fill="auto"/>
            <w:noWrap/>
            <w:vAlign w:val="bottom"/>
            <w:hideMark/>
          </w:tcPr>
          <w:p w14:paraId="0502F4A8"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5D7096F0"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10,927 </w:t>
            </w:r>
          </w:p>
        </w:tc>
        <w:tc>
          <w:tcPr>
            <w:tcW w:w="371" w:type="dxa"/>
            <w:tcBorders>
              <w:top w:val="nil"/>
              <w:left w:val="nil"/>
              <w:bottom w:val="nil"/>
              <w:right w:val="nil"/>
            </w:tcBorders>
            <w:shd w:val="clear" w:color="auto" w:fill="auto"/>
            <w:noWrap/>
            <w:vAlign w:val="bottom"/>
            <w:hideMark/>
          </w:tcPr>
          <w:p w14:paraId="435B6116"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23A8520D"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(1,785)</w:t>
            </w:r>
          </w:p>
        </w:tc>
        <w:tc>
          <w:tcPr>
            <w:tcW w:w="353" w:type="dxa"/>
            <w:tcBorders>
              <w:top w:val="nil"/>
              <w:left w:val="nil"/>
              <w:bottom w:val="nil"/>
              <w:right w:val="nil"/>
            </w:tcBorders>
            <w:shd w:val="clear" w:color="auto" w:fill="auto"/>
            <w:noWrap/>
            <w:vAlign w:val="bottom"/>
            <w:hideMark/>
          </w:tcPr>
          <w:p w14:paraId="0B607406"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0E4FBF9B"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9,142 </w:t>
            </w:r>
          </w:p>
        </w:tc>
        <w:tc>
          <w:tcPr>
            <w:tcW w:w="425" w:type="dxa"/>
            <w:tcBorders>
              <w:top w:val="nil"/>
              <w:left w:val="nil"/>
              <w:bottom w:val="nil"/>
              <w:right w:val="nil"/>
            </w:tcBorders>
            <w:shd w:val="clear" w:color="auto" w:fill="auto"/>
            <w:noWrap/>
            <w:vAlign w:val="bottom"/>
            <w:hideMark/>
          </w:tcPr>
          <w:p w14:paraId="24766458"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12F77BBB" w14:textId="77777777" w:rsidTr="0056547A">
        <w:trPr>
          <w:trHeight w:val="277"/>
        </w:trPr>
        <w:tc>
          <w:tcPr>
            <w:tcW w:w="3193" w:type="dxa"/>
            <w:tcBorders>
              <w:top w:val="nil"/>
              <w:left w:val="nil"/>
              <w:bottom w:val="nil"/>
              <w:right w:val="nil"/>
            </w:tcBorders>
            <w:shd w:val="clear" w:color="auto" w:fill="auto"/>
            <w:noWrap/>
            <w:vAlign w:val="bottom"/>
            <w:hideMark/>
          </w:tcPr>
          <w:p w14:paraId="711F5527" w14:textId="77777777" w:rsidR="00AC72CA" w:rsidRDefault="00AC72CA" w:rsidP="00BC5EE4">
            <w:pPr>
              <w:spacing w:after="0" w:line="240" w:lineRule="auto"/>
              <w:rPr>
                <w:rFonts w:ascii="Calibri" w:hAnsi="Calibri" w:cs="Arial"/>
                <w:color w:val="000000"/>
                <w:sz w:val="24"/>
                <w:szCs w:val="24"/>
                <w:lang w:eastAsia="en-GB"/>
              </w:rPr>
            </w:pPr>
          </w:p>
          <w:p w14:paraId="5A129C99"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Reconciliation of Funds</w:t>
            </w:r>
          </w:p>
        </w:tc>
        <w:tc>
          <w:tcPr>
            <w:tcW w:w="672" w:type="dxa"/>
            <w:tcBorders>
              <w:top w:val="nil"/>
              <w:left w:val="nil"/>
              <w:bottom w:val="nil"/>
              <w:right w:val="nil"/>
            </w:tcBorders>
            <w:shd w:val="clear" w:color="auto" w:fill="auto"/>
            <w:noWrap/>
            <w:vAlign w:val="bottom"/>
            <w:hideMark/>
          </w:tcPr>
          <w:p w14:paraId="170E74EC"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20A84552"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72782E7B"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079C20C5"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0BA1D141"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59E55A1E"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4EBF10E2" w14:textId="77777777" w:rsidR="00AC72CA" w:rsidRPr="002B2821" w:rsidRDefault="00AC72CA" w:rsidP="00BC5EE4">
            <w:pPr>
              <w:spacing w:after="0" w:line="240" w:lineRule="auto"/>
              <w:jc w:val="right"/>
              <w:rPr>
                <w:lang w:eastAsia="en-GB"/>
              </w:rPr>
            </w:pPr>
          </w:p>
        </w:tc>
      </w:tr>
      <w:tr w:rsidR="00AC72CA" w:rsidRPr="002B2821" w14:paraId="10E08D94" w14:textId="77777777" w:rsidTr="0056547A">
        <w:trPr>
          <w:trHeight w:val="277"/>
        </w:trPr>
        <w:tc>
          <w:tcPr>
            <w:tcW w:w="3193" w:type="dxa"/>
            <w:tcBorders>
              <w:top w:val="nil"/>
              <w:left w:val="nil"/>
              <w:bottom w:val="nil"/>
              <w:right w:val="nil"/>
            </w:tcBorders>
            <w:shd w:val="clear" w:color="auto" w:fill="auto"/>
            <w:noWrap/>
            <w:vAlign w:val="bottom"/>
            <w:hideMark/>
          </w:tcPr>
          <w:p w14:paraId="3B526F4E" w14:textId="77777777" w:rsidR="00AC72CA" w:rsidRDefault="00AC72CA" w:rsidP="00BC5EE4">
            <w:pPr>
              <w:spacing w:after="0" w:line="240" w:lineRule="auto"/>
              <w:rPr>
                <w:rFonts w:ascii="Calibri" w:hAnsi="Calibri" w:cs="Arial"/>
                <w:color w:val="000000"/>
                <w:sz w:val="24"/>
                <w:szCs w:val="24"/>
                <w:lang w:eastAsia="en-GB"/>
              </w:rPr>
            </w:pPr>
          </w:p>
          <w:p w14:paraId="6484C9EB"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Fund balances brought forward</w:t>
            </w:r>
          </w:p>
        </w:tc>
        <w:tc>
          <w:tcPr>
            <w:tcW w:w="672" w:type="dxa"/>
            <w:tcBorders>
              <w:top w:val="nil"/>
              <w:left w:val="nil"/>
              <w:bottom w:val="nil"/>
              <w:right w:val="nil"/>
            </w:tcBorders>
            <w:shd w:val="clear" w:color="auto" w:fill="auto"/>
            <w:noWrap/>
            <w:vAlign w:val="bottom"/>
            <w:hideMark/>
          </w:tcPr>
          <w:p w14:paraId="55431A41"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675" w:type="dxa"/>
            <w:tcBorders>
              <w:top w:val="nil"/>
              <w:left w:val="nil"/>
              <w:bottom w:val="nil"/>
              <w:right w:val="nil"/>
            </w:tcBorders>
            <w:shd w:val="clear" w:color="auto" w:fill="auto"/>
            <w:noWrap/>
            <w:vAlign w:val="bottom"/>
            <w:hideMark/>
          </w:tcPr>
          <w:p w14:paraId="0A53204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148,559 </w:t>
            </w:r>
          </w:p>
        </w:tc>
        <w:tc>
          <w:tcPr>
            <w:tcW w:w="371" w:type="dxa"/>
            <w:tcBorders>
              <w:top w:val="nil"/>
              <w:left w:val="nil"/>
              <w:bottom w:val="nil"/>
              <w:right w:val="nil"/>
            </w:tcBorders>
            <w:shd w:val="clear" w:color="auto" w:fill="auto"/>
            <w:noWrap/>
            <w:vAlign w:val="bottom"/>
            <w:hideMark/>
          </w:tcPr>
          <w:p w14:paraId="320B315F"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nil"/>
              <w:left w:val="nil"/>
              <w:bottom w:val="nil"/>
              <w:right w:val="nil"/>
            </w:tcBorders>
            <w:shd w:val="clear" w:color="auto" w:fill="auto"/>
            <w:noWrap/>
            <w:vAlign w:val="bottom"/>
            <w:hideMark/>
          </w:tcPr>
          <w:p w14:paraId="7271C59A"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1,200 </w:t>
            </w:r>
          </w:p>
        </w:tc>
        <w:tc>
          <w:tcPr>
            <w:tcW w:w="353" w:type="dxa"/>
            <w:tcBorders>
              <w:top w:val="nil"/>
              <w:left w:val="nil"/>
              <w:bottom w:val="nil"/>
              <w:right w:val="nil"/>
            </w:tcBorders>
            <w:shd w:val="clear" w:color="auto" w:fill="auto"/>
            <w:noWrap/>
            <w:vAlign w:val="bottom"/>
            <w:hideMark/>
          </w:tcPr>
          <w:p w14:paraId="11B698B6"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nil"/>
              <w:left w:val="nil"/>
              <w:bottom w:val="nil"/>
              <w:right w:val="nil"/>
            </w:tcBorders>
            <w:shd w:val="clear" w:color="auto" w:fill="auto"/>
            <w:noWrap/>
            <w:vAlign w:val="bottom"/>
            <w:hideMark/>
          </w:tcPr>
          <w:p w14:paraId="250D4A06"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149,759 </w:t>
            </w:r>
          </w:p>
        </w:tc>
        <w:tc>
          <w:tcPr>
            <w:tcW w:w="425" w:type="dxa"/>
            <w:tcBorders>
              <w:top w:val="nil"/>
              <w:left w:val="nil"/>
              <w:bottom w:val="nil"/>
              <w:right w:val="nil"/>
            </w:tcBorders>
            <w:shd w:val="clear" w:color="auto" w:fill="auto"/>
            <w:noWrap/>
            <w:vAlign w:val="bottom"/>
            <w:hideMark/>
          </w:tcPr>
          <w:p w14:paraId="09DD7BBC"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4FCED3D3" w14:textId="77777777" w:rsidTr="0056547A">
        <w:trPr>
          <w:trHeight w:val="277"/>
        </w:trPr>
        <w:tc>
          <w:tcPr>
            <w:tcW w:w="3193" w:type="dxa"/>
            <w:tcBorders>
              <w:top w:val="nil"/>
              <w:left w:val="nil"/>
              <w:bottom w:val="nil"/>
              <w:right w:val="nil"/>
            </w:tcBorders>
            <w:shd w:val="clear" w:color="auto" w:fill="auto"/>
            <w:noWrap/>
            <w:vAlign w:val="bottom"/>
            <w:hideMark/>
          </w:tcPr>
          <w:p w14:paraId="11A415AD"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1 October 2016</w:t>
            </w:r>
          </w:p>
        </w:tc>
        <w:tc>
          <w:tcPr>
            <w:tcW w:w="672" w:type="dxa"/>
            <w:tcBorders>
              <w:top w:val="nil"/>
              <w:left w:val="nil"/>
              <w:bottom w:val="nil"/>
              <w:right w:val="nil"/>
            </w:tcBorders>
            <w:shd w:val="clear" w:color="auto" w:fill="auto"/>
            <w:noWrap/>
            <w:vAlign w:val="bottom"/>
            <w:hideMark/>
          </w:tcPr>
          <w:p w14:paraId="5EE03615"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nil"/>
              <w:right w:val="nil"/>
            </w:tcBorders>
            <w:shd w:val="clear" w:color="auto" w:fill="auto"/>
            <w:noWrap/>
            <w:vAlign w:val="bottom"/>
            <w:hideMark/>
          </w:tcPr>
          <w:p w14:paraId="5A87B239"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22CD1272"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30495BCF"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0953D71D"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70702EE0"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1AC3422F" w14:textId="77777777" w:rsidR="00AC72CA" w:rsidRPr="002B2821" w:rsidRDefault="00AC72CA" w:rsidP="00BC5EE4">
            <w:pPr>
              <w:spacing w:after="0" w:line="240" w:lineRule="auto"/>
              <w:jc w:val="right"/>
              <w:rPr>
                <w:lang w:eastAsia="en-GB"/>
              </w:rPr>
            </w:pPr>
          </w:p>
        </w:tc>
      </w:tr>
      <w:tr w:rsidR="00AC72CA" w:rsidRPr="002B2821" w14:paraId="239086FB" w14:textId="77777777" w:rsidTr="0056547A">
        <w:trPr>
          <w:trHeight w:val="277"/>
        </w:trPr>
        <w:tc>
          <w:tcPr>
            <w:tcW w:w="3193" w:type="dxa"/>
            <w:tcBorders>
              <w:top w:val="nil"/>
              <w:left w:val="nil"/>
              <w:bottom w:val="nil"/>
              <w:right w:val="nil"/>
            </w:tcBorders>
            <w:shd w:val="clear" w:color="auto" w:fill="auto"/>
            <w:noWrap/>
            <w:vAlign w:val="bottom"/>
            <w:hideMark/>
          </w:tcPr>
          <w:p w14:paraId="4CA11BD2"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Fund balances carried forward</w:t>
            </w:r>
          </w:p>
        </w:tc>
        <w:tc>
          <w:tcPr>
            <w:tcW w:w="672" w:type="dxa"/>
            <w:tcBorders>
              <w:top w:val="nil"/>
              <w:left w:val="nil"/>
              <w:bottom w:val="nil"/>
              <w:right w:val="nil"/>
            </w:tcBorders>
            <w:shd w:val="clear" w:color="auto" w:fill="auto"/>
            <w:noWrap/>
            <w:vAlign w:val="bottom"/>
            <w:hideMark/>
          </w:tcPr>
          <w:p w14:paraId="5BB51CC8" w14:textId="77777777" w:rsidR="00AC72CA" w:rsidRPr="002B2821" w:rsidRDefault="00AC72CA" w:rsidP="00BC5EE4">
            <w:pPr>
              <w:spacing w:after="0" w:line="240" w:lineRule="auto"/>
              <w:rPr>
                <w:rFonts w:ascii="Calibri" w:hAnsi="Calibri" w:cs="Arial"/>
                <w:color w:val="000000"/>
                <w:sz w:val="24"/>
                <w:szCs w:val="24"/>
                <w:lang w:eastAsia="en-GB"/>
              </w:rPr>
            </w:pPr>
          </w:p>
        </w:tc>
        <w:tc>
          <w:tcPr>
            <w:tcW w:w="1675" w:type="dxa"/>
            <w:tcBorders>
              <w:top w:val="nil"/>
              <w:left w:val="nil"/>
              <w:bottom w:val="single" w:sz="4" w:space="0" w:color="auto"/>
              <w:right w:val="nil"/>
            </w:tcBorders>
            <w:shd w:val="clear" w:color="auto" w:fill="auto"/>
            <w:noWrap/>
            <w:vAlign w:val="bottom"/>
            <w:hideMark/>
          </w:tcPr>
          <w:p w14:paraId="4E1E0829"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712BEF1F" w14:textId="77777777" w:rsidR="00AC72CA" w:rsidRPr="002B2821" w:rsidRDefault="00AC72CA" w:rsidP="00BC5EE4">
            <w:pPr>
              <w:spacing w:after="0" w:line="240" w:lineRule="auto"/>
              <w:rPr>
                <w:lang w:eastAsia="en-GB"/>
              </w:rPr>
            </w:pPr>
          </w:p>
        </w:tc>
        <w:tc>
          <w:tcPr>
            <w:tcW w:w="1229" w:type="dxa"/>
            <w:tcBorders>
              <w:top w:val="nil"/>
              <w:left w:val="nil"/>
              <w:bottom w:val="single" w:sz="4" w:space="0" w:color="auto"/>
              <w:right w:val="nil"/>
            </w:tcBorders>
            <w:shd w:val="clear" w:color="auto" w:fill="auto"/>
            <w:noWrap/>
            <w:vAlign w:val="bottom"/>
            <w:hideMark/>
          </w:tcPr>
          <w:p w14:paraId="3D817D7C"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2BB7D664" w14:textId="77777777" w:rsidR="00AC72CA" w:rsidRPr="002B2821" w:rsidRDefault="00AC72CA" w:rsidP="00BC5EE4">
            <w:pPr>
              <w:spacing w:after="0" w:line="240" w:lineRule="auto"/>
              <w:rPr>
                <w:lang w:eastAsia="en-GB"/>
              </w:rPr>
            </w:pPr>
          </w:p>
        </w:tc>
        <w:tc>
          <w:tcPr>
            <w:tcW w:w="1550" w:type="dxa"/>
            <w:tcBorders>
              <w:top w:val="nil"/>
              <w:left w:val="nil"/>
              <w:bottom w:val="single" w:sz="4" w:space="0" w:color="auto"/>
              <w:right w:val="nil"/>
            </w:tcBorders>
            <w:shd w:val="clear" w:color="auto" w:fill="auto"/>
            <w:noWrap/>
            <w:vAlign w:val="bottom"/>
            <w:hideMark/>
          </w:tcPr>
          <w:p w14:paraId="46A873B9"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476C5F4A" w14:textId="77777777" w:rsidR="00AC72CA" w:rsidRPr="002B2821" w:rsidRDefault="00AC72CA" w:rsidP="00BC5EE4">
            <w:pPr>
              <w:spacing w:after="0" w:line="240" w:lineRule="auto"/>
              <w:jc w:val="right"/>
              <w:rPr>
                <w:lang w:eastAsia="en-GB"/>
              </w:rPr>
            </w:pPr>
          </w:p>
        </w:tc>
      </w:tr>
      <w:tr w:rsidR="00AC72CA" w:rsidRPr="002B2821" w14:paraId="3AE1747F" w14:textId="77777777" w:rsidTr="0056547A">
        <w:trPr>
          <w:trHeight w:val="277"/>
        </w:trPr>
        <w:tc>
          <w:tcPr>
            <w:tcW w:w="3193" w:type="dxa"/>
            <w:tcBorders>
              <w:top w:val="nil"/>
              <w:left w:val="nil"/>
              <w:bottom w:val="nil"/>
              <w:right w:val="nil"/>
            </w:tcBorders>
            <w:shd w:val="clear" w:color="auto" w:fill="auto"/>
            <w:noWrap/>
            <w:vAlign w:val="bottom"/>
            <w:hideMark/>
          </w:tcPr>
          <w:p w14:paraId="7A9710A4" w14:textId="77777777" w:rsidR="00AC72CA" w:rsidRPr="002B2821" w:rsidRDefault="00AC72CA" w:rsidP="00BC5EE4">
            <w:pPr>
              <w:spacing w:after="0" w:line="240" w:lineRule="auto"/>
              <w:rPr>
                <w:rFonts w:ascii="Calibri" w:hAnsi="Calibri" w:cs="Arial"/>
                <w:color w:val="000000"/>
                <w:sz w:val="24"/>
                <w:szCs w:val="24"/>
                <w:lang w:eastAsia="en-GB"/>
              </w:rPr>
            </w:pPr>
            <w:r w:rsidRPr="002B2821">
              <w:rPr>
                <w:rFonts w:ascii="Calibri" w:hAnsi="Calibri" w:cs="Arial"/>
                <w:color w:val="000000"/>
                <w:sz w:val="24"/>
                <w:szCs w:val="24"/>
                <w:lang w:eastAsia="en-GB"/>
              </w:rPr>
              <w:t>at 30 September 2017</w:t>
            </w:r>
          </w:p>
        </w:tc>
        <w:tc>
          <w:tcPr>
            <w:tcW w:w="672" w:type="dxa"/>
            <w:tcBorders>
              <w:top w:val="nil"/>
              <w:left w:val="nil"/>
              <w:bottom w:val="nil"/>
              <w:right w:val="nil"/>
            </w:tcBorders>
            <w:shd w:val="clear" w:color="auto" w:fill="auto"/>
            <w:noWrap/>
            <w:vAlign w:val="bottom"/>
            <w:hideMark/>
          </w:tcPr>
          <w:p w14:paraId="10664C08" w14:textId="77777777" w:rsidR="00AC72CA" w:rsidRPr="002B2821" w:rsidRDefault="00AC72CA" w:rsidP="00BC5EE4">
            <w:pPr>
              <w:spacing w:after="0" w:line="240" w:lineRule="auto"/>
              <w:jc w:val="center"/>
              <w:rPr>
                <w:rFonts w:ascii="Calibri" w:hAnsi="Calibri" w:cs="Arial"/>
                <w:color w:val="000000"/>
                <w:lang w:eastAsia="en-GB"/>
              </w:rPr>
            </w:pPr>
            <w:r w:rsidRPr="002B2821">
              <w:rPr>
                <w:rFonts w:ascii="Calibri" w:hAnsi="Calibri" w:cs="Arial"/>
                <w:color w:val="000000"/>
                <w:lang w:eastAsia="en-GB"/>
              </w:rPr>
              <w:t xml:space="preserve">10 </w:t>
            </w:r>
          </w:p>
        </w:tc>
        <w:tc>
          <w:tcPr>
            <w:tcW w:w="1675" w:type="dxa"/>
            <w:tcBorders>
              <w:top w:val="single" w:sz="4" w:space="0" w:color="auto"/>
              <w:left w:val="nil"/>
              <w:bottom w:val="single" w:sz="4" w:space="0" w:color="000000"/>
              <w:right w:val="nil"/>
            </w:tcBorders>
            <w:shd w:val="clear" w:color="auto" w:fill="auto"/>
            <w:noWrap/>
            <w:vAlign w:val="bottom"/>
            <w:hideMark/>
          </w:tcPr>
          <w:p w14:paraId="3F7F8A79"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159,486 </w:t>
            </w:r>
          </w:p>
        </w:tc>
        <w:tc>
          <w:tcPr>
            <w:tcW w:w="371" w:type="dxa"/>
            <w:tcBorders>
              <w:top w:val="nil"/>
              <w:left w:val="nil"/>
              <w:bottom w:val="nil"/>
              <w:right w:val="nil"/>
            </w:tcBorders>
            <w:shd w:val="clear" w:color="auto" w:fill="auto"/>
            <w:noWrap/>
            <w:vAlign w:val="bottom"/>
            <w:hideMark/>
          </w:tcPr>
          <w:p w14:paraId="1AF02D4F"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229" w:type="dxa"/>
            <w:tcBorders>
              <w:top w:val="single" w:sz="4" w:space="0" w:color="auto"/>
              <w:left w:val="nil"/>
              <w:bottom w:val="single" w:sz="4" w:space="0" w:color="000000"/>
              <w:right w:val="nil"/>
            </w:tcBorders>
            <w:shd w:val="clear" w:color="auto" w:fill="auto"/>
            <w:noWrap/>
            <w:vAlign w:val="bottom"/>
            <w:hideMark/>
          </w:tcPr>
          <w:p w14:paraId="0B06F204"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(585)</w:t>
            </w:r>
          </w:p>
        </w:tc>
        <w:tc>
          <w:tcPr>
            <w:tcW w:w="353" w:type="dxa"/>
            <w:tcBorders>
              <w:top w:val="nil"/>
              <w:left w:val="nil"/>
              <w:bottom w:val="nil"/>
              <w:right w:val="nil"/>
            </w:tcBorders>
            <w:shd w:val="clear" w:color="auto" w:fill="auto"/>
            <w:noWrap/>
            <w:vAlign w:val="bottom"/>
            <w:hideMark/>
          </w:tcPr>
          <w:p w14:paraId="247F2D6A" w14:textId="77777777" w:rsidR="00AC72CA" w:rsidRPr="002B2821" w:rsidRDefault="00AC72CA" w:rsidP="00BC5EE4">
            <w:pPr>
              <w:spacing w:after="0" w:line="240" w:lineRule="auto"/>
              <w:jc w:val="right"/>
              <w:rPr>
                <w:rFonts w:ascii="Calibri" w:hAnsi="Calibri" w:cs="Arial"/>
                <w:color w:val="000000"/>
                <w:sz w:val="24"/>
                <w:szCs w:val="24"/>
                <w:lang w:eastAsia="en-GB"/>
              </w:rPr>
            </w:pPr>
          </w:p>
        </w:tc>
        <w:tc>
          <w:tcPr>
            <w:tcW w:w="1550" w:type="dxa"/>
            <w:tcBorders>
              <w:top w:val="single" w:sz="4" w:space="0" w:color="auto"/>
              <w:left w:val="nil"/>
              <w:bottom w:val="single" w:sz="4" w:space="0" w:color="000000"/>
              <w:right w:val="nil"/>
            </w:tcBorders>
            <w:shd w:val="clear" w:color="auto" w:fill="auto"/>
            <w:noWrap/>
            <w:vAlign w:val="bottom"/>
            <w:hideMark/>
          </w:tcPr>
          <w:p w14:paraId="3DFE0A8F" w14:textId="77777777" w:rsidR="00AC72CA" w:rsidRPr="002B2821" w:rsidRDefault="00AC72CA" w:rsidP="00BC5EE4">
            <w:pPr>
              <w:spacing w:after="0" w:line="240" w:lineRule="auto"/>
              <w:jc w:val="right"/>
              <w:rPr>
                <w:rFonts w:ascii="Calibri" w:hAnsi="Calibri" w:cs="Arial"/>
                <w:color w:val="000000"/>
                <w:sz w:val="24"/>
                <w:szCs w:val="24"/>
                <w:lang w:eastAsia="en-GB"/>
              </w:rPr>
            </w:pPr>
            <w:r w:rsidRPr="002B2821">
              <w:rPr>
                <w:rFonts w:ascii="Calibri" w:hAnsi="Calibri" w:cs="Arial"/>
                <w:color w:val="000000"/>
                <w:sz w:val="24"/>
                <w:szCs w:val="24"/>
                <w:lang w:eastAsia="en-GB"/>
              </w:rPr>
              <w:t xml:space="preserve">158,901 </w:t>
            </w:r>
          </w:p>
        </w:tc>
        <w:tc>
          <w:tcPr>
            <w:tcW w:w="425" w:type="dxa"/>
            <w:tcBorders>
              <w:top w:val="nil"/>
              <w:left w:val="nil"/>
              <w:bottom w:val="nil"/>
              <w:right w:val="nil"/>
            </w:tcBorders>
            <w:shd w:val="clear" w:color="auto" w:fill="auto"/>
            <w:noWrap/>
            <w:vAlign w:val="bottom"/>
            <w:hideMark/>
          </w:tcPr>
          <w:p w14:paraId="55E7DBA0" w14:textId="77777777" w:rsidR="00AC72CA" w:rsidRPr="002B2821" w:rsidRDefault="00AC72CA" w:rsidP="00BC5EE4">
            <w:pPr>
              <w:spacing w:after="0" w:line="240" w:lineRule="auto"/>
              <w:jc w:val="right"/>
              <w:rPr>
                <w:rFonts w:ascii="Calibri" w:hAnsi="Calibri" w:cs="Arial"/>
                <w:color w:val="000000"/>
                <w:sz w:val="24"/>
                <w:szCs w:val="24"/>
                <w:lang w:eastAsia="en-GB"/>
              </w:rPr>
            </w:pPr>
          </w:p>
        </w:tc>
      </w:tr>
      <w:tr w:rsidR="00AC72CA" w:rsidRPr="002B2821" w14:paraId="390E4409" w14:textId="77777777" w:rsidTr="0056547A">
        <w:trPr>
          <w:trHeight w:val="277"/>
        </w:trPr>
        <w:tc>
          <w:tcPr>
            <w:tcW w:w="3193" w:type="dxa"/>
            <w:tcBorders>
              <w:top w:val="nil"/>
              <w:left w:val="nil"/>
              <w:bottom w:val="nil"/>
              <w:right w:val="nil"/>
            </w:tcBorders>
            <w:shd w:val="clear" w:color="auto" w:fill="auto"/>
            <w:noWrap/>
            <w:vAlign w:val="bottom"/>
            <w:hideMark/>
          </w:tcPr>
          <w:p w14:paraId="763F1123" w14:textId="77777777" w:rsidR="00AC72CA" w:rsidRPr="002B2821" w:rsidRDefault="00AC72CA" w:rsidP="00BC5EE4">
            <w:pPr>
              <w:spacing w:after="0" w:line="240" w:lineRule="auto"/>
              <w:rPr>
                <w:lang w:eastAsia="en-GB"/>
              </w:rPr>
            </w:pPr>
          </w:p>
        </w:tc>
        <w:tc>
          <w:tcPr>
            <w:tcW w:w="672" w:type="dxa"/>
            <w:tcBorders>
              <w:top w:val="nil"/>
              <w:left w:val="nil"/>
              <w:bottom w:val="nil"/>
              <w:right w:val="nil"/>
            </w:tcBorders>
            <w:shd w:val="clear" w:color="auto" w:fill="auto"/>
            <w:noWrap/>
            <w:vAlign w:val="bottom"/>
            <w:hideMark/>
          </w:tcPr>
          <w:p w14:paraId="6C816638" w14:textId="77777777" w:rsidR="00AC72CA" w:rsidRPr="002B2821" w:rsidRDefault="00AC72CA" w:rsidP="00BC5EE4">
            <w:pPr>
              <w:spacing w:after="0" w:line="240" w:lineRule="auto"/>
              <w:rPr>
                <w:lang w:eastAsia="en-GB"/>
              </w:rPr>
            </w:pPr>
          </w:p>
        </w:tc>
        <w:tc>
          <w:tcPr>
            <w:tcW w:w="1675" w:type="dxa"/>
            <w:tcBorders>
              <w:top w:val="nil"/>
              <w:left w:val="nil"/>
              <w:bottom w:val="nil"/>
              <w:right w:val="nil"/>
            </w:tcBorders>
            <w:shd w:val="clear" w:color="auto" w:fill="auto"/>
            <w:noWrap/>
            <w:vAlign w:val="bottom"/>
            <w:hideMark/>
          </w:tcPr>
          <w:p w14:paraId="3B3B71F2" w14:textId="77777777" w:rsidR="00AC72CA" w:rsidRPr="002B2821" w:rsidRDefault="00AC72CA" w:rsidP="00BC5EE4">
            <w:pPr>
              <w:spacing w:after="0" w:line="240" w:lineRule="auto"/>
              <w:jc w:val="center"/>
              <w:rPr>
                <w:lang w:eastAsia="en-GB"/>
              </w:rPr>
            </w:pPr>
          </w:p>
        </w:tc>
        <w:tc>
          <w:tcPr>
            <w:tcW w:w="371" w:type="dxa"/>
            <w:tcBorders>
              <w:top w:val="nil"/>
              <w:left w:val="nil"/>
              <w:bottom w:val="nil"/>
              <w:right w:val="nil"/>
            </w:tcBorders>
            <w:shd w:val="clear" w:color="auto" w:fill="auto"/>
            <w:noWrap/>
            <w:vAlign w:val="bottom"/>
            <w:hideMark/>
          </w:tcPr>
          <w:p w14:paraId="728F37A3" w14:textId="77777777" w:rsidR="00AC72CA" w:rsidRPr="002B2821" w:rsidRDefault="00AC72CA" w:rsidP="00BC5EE4">
            <w:pPr>
              <w:spacing w:after="0" w:line="240" w:lineRule="auto"/>
              <w:rPr>
                <w:lang w:eastAsia="en-GB"/>
              </w:rPr>
            </w:pPr>
          </w:p>
        </w:tc>
        <w:tc>
          <w:tcPr>
            <w:tcW w:w="1229" w:type="dxa"/>
            <w:tcBorders>
              <w:top w:val="nil"/>
              <w:left w:val="nil"/>
              <w:bottom w:val="nil"/>
              <w:right w:val="nil"/>
            </w:tcBorders>
            <w:shd w:val="clear" w:color="auto" w:fill="auto"/>
            <w:noWrap/>
            <w:vAlign w:val="bottom"/>
            <w:hideMark/>
          </w:tcPr>
          <w:p w14:paraId="7B56698A" w14:textId="77777777" w:rsidR="00AC72CA" w:rsidRPr="002B2821" w:rsidRDefault="00AC72CA" w:rsidP="00BC5EE4">
            <w:pPr>
              <w:spacing w:after="0" w:line="240" w:lineRule="auto"/>
              <w:rPr>
                <w:lang w:eastAsia="en-GB"/>
              </w:rPr>
            </w:pPr>
          </w:p>
        </w:tc>
        <w:tc>
          <w:tcPr>
            <w:tcW w:w="353" w:type="dxa"/>
            <w:tcBorders>
              <w:top w:val="nil"/>
              <w:left w:val="nil"/>
              <w:bottom w:val="nil"/>
              <w:right w:val="nil"/>
            </w:tcBorders>
            <w:shd w:val="clear" w:color="auto" w:fill="auto"/>
            <w:noWrap/>
            <w:vAlign w:val="bottom"/>
            <w:hideMark/>
          </w:tcPr>
          <w:p w14:paraId="3D1BC0C1" w14:textId="77777777" w:rsidR="00AC72CA" w:rsidRPr="002B2821" w:rsidRDefault="00AC72CA" w:rsidP="00BC5EE4">
            <w:pPr>
              <w:spacing w:after="0" w:line="240" w:lineRule="auto"/>
              <w:rPr>
                <w:lang w:eastAsia="en-GB"/>
              </w:rPr>
            </w:pPr>
          </w:p>
        </w:tc>
        <w:tc>
          <w:tcPr>
            <w:tcW w:w="1550" w:type="dxa"/>
            <w:tcBorders>
              <w:top w:val="nil"/>
              <w:left w:val="nil"/>
              <w:bottom w:val="nil"/>
              <w:right w:val="nil"/>
            </w:tcBorders>
            <w:shd w:val="clear" w:color="auto" w:fill="auto"/>
            <w:noWrap/>
            <w:vAlign w:val="bottom"/>
            <w:hideMark/>
          </w:tcPr>
          <w:p w14:paraId="6CBE7C0F" w14:textId="77777777" w:rsidR="00AC72CA" w:rsidRPr="002B2821" w:rsidRDefault="00AC72CA" w:rsidP="00BC5EE4">
            <w:pPr>
              <w:spacing w:after="0" w:line="240" w:lineRule="auto"/>
              <w:rPr>
                <w:lang w:eastAsia="en-GB"/>
              </w:rPr>
            </w:pPr>
          </w:p>
        </w:tc>
        <w:tc>
          <w:tcPr>
            <w:tcW w:w="425" w:type="dxa"/>
            <w:tcBorders>
              <w:top w:val="nil"/>
              <w:left w:val="nil"/>
              <w:bottom w:val="nil"/>
              <w:right w:val="nil"/>
            </w:tcBorders>
            <w:shd w:val="clear" w:color="auto" w:fill="auto"/>
            <w:noWrap/>
            <w:vAlign w:val="bottom"/>
            <w:hideMark/>
          </w:tcPr>
          <w:p w14:paraId="62AA4462" w14:textId="77777777" w:rsidR="00AC72CA" w:rsidRPr="002B2821" w:rsidRDefault="00AC72CA" w:rsidP="00BC5EE4">
            <w:pPr>
              <w:spacing w:after="0" w:line="240" w:lineRule="auto"/>
              <w:rPr>
                <w:lang w:eastAsia="en-GB"/>
              </w:rPr>
            </w:pPr>
          </w:p>
        </w:tc>
      </w:tr>
    </w:tbl>
    <w:p w14:paraId="7354DE57" w14:textId="77777777" w:rsidR="00AC72CA" w:rsidRPr="002B2821" w:rsidRDefault="00AC72CA" w:rsidP="00AC72CA">
      <w:pPr>
        <w:pStyle w:val="BodyText"/>
        <w:spacing w:after="0" w:line="240" w:lineRule="auto"/>
        <w:rPr>
          <w:rFonts w:asciiTheme="minorHAnsi" w:hAnsiTheme="minorHAnsi" w:cs="Arial"/>
          <w:b/>
          <w:color w:val="442359"/>
          <w:sz w:val="18"/>
          <w:szCs w:val="18"/>
        </w:rPr>
      </w:pPr>
    </w:p>
    <w:p w14:paraId="19E29DFA" w14:textId="77777777" w:rsidR="00AC72CA" w:rsidRPr="002B2821" w:rsidRDefault="00AC72CA" w:rsidP="00AC72CA">
      <w:pPr>
        <w:pStyle w:val="BodyText"/>
        <w:spacing w:after="0" w:line="240" w:lineRule="auto"/>
        <w:rPr>
          <w:rFonts w:asciiTheme="minorHAnsi" w:hAnsiTheme="minorHAnsi" w:cs="Arial"/>
          <w:b/>
          <w:color w:val="442359"/>
          <w:sz w:val="18"/>
          <w:szCs w:val="18"/>
        </w:rPr>
      </w:pPr>
    </w:p>
    <w:p w14:paraId="25D348BA" w14:textId="77777777" w:rsidR="00AC72CA" w:rsidRPr="002B2821" w:rsidRDefault="00AC72CA" w:rsidP="00AC72CA">
      <w:pPr>
        <w:pStyle w:val="BodyText"/>
        <w:spacing w:after="0" w:line="240" w:lineRule="auto"/>
        <w:rPr>
          <w:rFonts w:asciiTheme="minorHAnsi" w:hAnsiTheme="minorHAnsi" w:cs="Arial"/>
          <w:b/>
          <w:color w:val="442359"/>
          <w:sz w:val="18"/>
          <w:szCs w:val="18"/>
        </w:rPr>
      </w:pPr>
    </w:p>
    <w:p w14:paraId="2F405279" w14:textId="77777777" w:rsidR="00E22FE9" w:rsidRDefault="00E22FE9">
      <w:pPr>
        <w:spacing w:after="0"/>
        <w:rPr>
          <w:rFonts w:asciiTheme="minorHAnsi" w:hAnsiTheme="minorHAnsi" w:cs="Arial"/>
          <w:sz w:val="24"/>
          <w:szCs w:val="24"/>
        </w:rPr>
      </w:pPr>
    </w:p>
    <w:sectPr w:rsidR="00E22FE9" w:rsidSect="002D0169">
      <w:footerReference w:type="default" r:id="rId13"/>
      <w:pgSz w:w="11906" w:h="16838" w:code="9"/>
      <w:pgMar w:top="238" w:right="1191" w:bottom="244" w:left="1786" w:header="567" w:footer="4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08BE" w14:textId="77777777" w:rsidR="00790665" w:rsidRDefault="00790665">
      <w:r>
        <w:separator/>
      </w:r>
    </w:p>
  </w:endnote>
  <w:endnote w:type="continuationSeparator" w:id="0">
    <w:p w14:paraId="395919B2" w14:textId="77777777" w:rsidR="00790665" w:rsidRDefault="00790665">
      <w:r>
        <w:continuationSeparator/>
      </w:r>
    </w:p>
  </w:endnote>
  <w:endnote w:type="continuationNotice" w:id="1">
    <w:p w14:paraId="4D700286" w14:textId="77777777" w:rsidR="00790665" w:rsidRDefault="00790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HMONE+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1987"/>
      <w:docPartObj>
        <w:docPartGallery w:val="Page Numbers (Bottom of Page)"/>
        <w:docPartUnique/>
      </w:docPartObj>
    </w:sdtPr>
    <w:sdtEndPr>
      <w:rPr>
        <w:noProof/>
        <w:sz w:val="18"/>
      </w:rPr>
    </w:sdtEndPr>
    <w:sdtContent>
      <w:p w14:paraId="4022FF36" w14:textId="58218122" w:rsidR="003547DB" w:rsidRPr="00E72D30" w:rsidRDefault="003547DB">
        <w:pPr>
          <w:pStyle w:val="Footer"/>
          <w:jc w:val="right"/>
          <w:rPr>
            <w:sz w:val="18"/>
          </w:rPr>
        </w:pPr>
        <w:r w:rsidRPr="00E72D30">
          <w:rPr>
            <w:sz w:val="18"/>
          </w:rPr>
          <w:fldChar w:fldCharType="begin"/>
        </w:r>
        <w:r w:rsidRPr="00E72D30">
          <w:rPr>
            <w:sz w:val="18"/>
          </w:rPr>
          <w:instrText xml:space="preserve"> PAGE   \* MERGEFORMAT </w:instrText>
        </w:r>
        <w:r w:rsidRPr="00E72D30">
          <w:rPr>
            <w:sz w:val="18"/>
          </w:rPr>
          <w:fldChar w:fldCharType="separate"/>
        </w:r>
        <w:r w:rsidR="00531F2A">
          <w:rPr>
            <w:noProof/>
            <w:sz w:val="18"/>
          </w:rPr>
          <w:t>1</w:t>
        </w:r>
        <w:r w:rsidRPr="00E72D30">
          <w:rPr>
            <w:noProof/>
            <w:sz w:val="18"/>
          </w:rPr>
          <w:fldChar w:fldCharType="end"/>
        </w:r>
      </w:p>
    </w:sdtContent>
  </w:sdt>
  <w:p w14:paraId="0E7FE398" w14:textId="77777777" w:rsidR="003547DB" w:rsidRPr="008710E9" w:rsidRDefault="003547DB" w:rsidP="00FD004A">
    <w:pPr>
      <w:pStyle w:val="Footer"/>
      <w:ind w:right="36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C9406" w14:textId="77777777" w:rsidR="00790665" w:rsidRDefault="00790665">
      <w:r>
        <w:separator/>
      </w:r>
    </w:p>
  </w:footnote>
  <w:footnote w:type="continuationSeparator" w:id="0">
    <w:p w14:paraId="79B99D39" w14:textId="77777777" w:rsidR="00790665" w:rsidRDefault="00790665">
      <w:r>
        <w:continuationSeparator/>
      </w:r>
    </w:p>
  </w:footnote>
  <w:footnote w:type="continuationNotice" w:id="1">
    <w:p w14:paraId="64CAB074" w14:textId="77777777" w:rsidR="00790665" w:rsidRDefault="00790665">
      <w:pPr>
        <w:spacing w:after="0" w:line="240" w:lineRule="auto"/>
      </w:pPr>
    </w:p>
  </w:footnote>
  <w:footnote w:id="2">
    <w:p w14:paraId="137ADB34" w14:textId="247F0145" w:rsidR="003D771B" w:rsidRDefault="003D771B" w:rsidP="003D771B">
      <w:pPr>
        <w:pStyle w:val="FootnoteText"/>
      </w:pPr>
      <w:r>
        <w:rPr>
          <w:rStyle w:val="FootnoteReference"/>
        </w:rPr>
        <w:footnoteRef/>
      </w:r>
      <w:r>
        <w:t xml:space="preserve"> </w:t>
      </w:r>
      <w:r w:rsidR="006B1DD3" w:rsidRPr="006B1DD3">
        <w:rPr>
          <w:rFonts w:asciiTheme="minorHAnsi" w:hAnsiTheme="minorHAnsi" w:cstheme="minorHAnsi"/>
          <w:szCs w:val="24"/>
        </w:rPr>
        <w:t>T</w:t>
      </w:r>
      <w:r w:rsidR="006B1DD3" w:rsidRPr="006B1DD3">
        <w:rPr>
          <w:rFonts w:asciiTheme="minorHAnsi" w:hAnsiTheme="minorHAnsi" w:cs="Arial"/>
          <w:spacing w:val="-3"/>
          <w:kern w:val="2"/>
          <w:szCs w:val="24"/>
        </w:rPr>
        <w:t xml:space="preserve">he going concern basis means that </w:t>
      </w:r>
      <w:r w:rsidR="006B1DD3" w:rsidRPr="006B1DD3">
        <w:rPr>
          <w:rFonts w:asciiTheme="minorHAnsi" w:hAnsiTheme="minorHAnsi"/>
          <w:szCs w:val="24"/>
        </w:rPr>
        <w:t>the charity has the resources to continue in operations for a minimum of 12 months from the date of signing these financial statements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77"/>
    <w:multiLevelType w:val="hybridMultilevel"/>
    <w:tmpl w:val="3AD0A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55429"/>
    <w:multiLevelType w:val="hybridMultilevel"/>
    <w:tmpl w:val="F056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76F2"/>
    <w:multiLevelType w:val="hybridMultilevel"/>
    <w:tmpl w:val="EB5CF02E"/>
    <w:lvl w:ilvl="0" w:tplc="21307968">
      <w:start w:val="14"/>
      <w:numFmt w:val="decimal"/>
      <w:lvlText w:val="%1"/>
      <w:lvlJc w:val="left"/>
      <w:pPr>
        <w:tabs>
          <w:tab w:val="num" w:pos="930"/>
        </w:tabs>
        <w:ind w:left="930" w:hanging="57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71ED4"/>
    <w:multiLevelType w:val="singleLevel"/>
    <w:tmpl w:val="61EAA2F4"/>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B777819"/>
    <w:multiLevelType w:val="hybridMultilevel"/>
    <w:tmpl w:val="663C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F6B1D"/>
    <w:multiLevelType w:val="multilevel"/>
    <w:tmpl w:val="E32A7876"/>
    <w:lvl w:ilvl="0">
      <w:start w:val="1"/>
      <w:numFmt w:val="decimal"/>
      <w:lvlText w:val="%1."/>
      <w:lvlJc w:val="left"/>
      <w:pPr>
        <w:tabs>
          <w:tab w:val="num" w:pos="360"/>
        </w:tabs>
        <w:ind w:left="360" w:hanging="360"/>
      </w:pPr>
      <w:rPr>
        <w:rFonts w:hint="default"/>
        <w:b/>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1786A01"/>
    <w:multiLevelType w:val="hybridMultilevel"/>
    <w:tmpl w:val="531CACA2"/>
    <w:lvl w:ilvl="0" w:tplc="B7D0411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7731"/>
    <w:multiLevelType w:val="hybridMultilevel"/>
    <w:tmpl w:val="A8C29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60594"/>
    <w:multiLevelType w:val="multilevel"/>
    <w:tmpl w:val="9BC666EA"/>
    <w:name w:val="PwCNumberListTemplate"/>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9" w15:restartNumberingAfterBreak="0">
    <w:nsid w:val="146400BA"/>
    <w:multiLevelType w:val="hybridMultilevel"/>
    <w:tmpl w:val="81BCA676"/>
    <w:lvl w:ilvl="0" w:tplc="50E607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D7D04"/>
    <w:multiLevelType w:val="hybridMultilevel"/>
    <w:tmpl w:val="C764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30F55"/>
    <w:multiLevelType w:val="hybridMultilevel"/>
    <w:tmpl w:val="EB1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A5F03"/>
    <w:multiLevelType w:val="hybridMultilevel"/>
    <w:tmpl w:val="71A68A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2D01DF"/>
    <w:multiLevelType w:val="singleLevel"/>
    <w:tmpl w:val="401A719E"/>
    <w:lvl w:ilvl="0">
      <w:start w:val="1"/>
      <w:numFmt w:val="lowerLetter"/>
      <w:pStyle w:val="Heading4"/>
      <w:lvlText w:val="(%1)"/>
      <w:lvlJc w:val="left"/>
      <w:pPr>
        <w:tabs>
          <w:tab w:val="num" w:pos="720"/>
        </w:tabs>
        <w:ind w:left="720" w:hanging="360"/>
      </w:pPr>
      <w:rPr>
        <w:rFonts w:cs="Times New Roman" w:hint="default"/>
      </w:rPr>
    </w:lvl>
  </w:abstractNum>
  <w:abstractNum w:abstractNumId="14" w15:restartNumberingAfterBreak="0">
    <w:nsid w:val="297B12B1"/>
    <w:multiLevelType w:val="multilevel"/>
    <w:tmpl w:val="5CF8FD02"/>
    <w:lvl w:ilvl="0">
      <w:start w:val="1"/>
      <w:numFmt w:val="lowerLetter"/>
      <w:pStyle w:val="LetteredFootnote"/>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141A2D"/>
    <w:multiLevelType w:val="hybridMultilevel"/>
    <w:tmpl w:val="375E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028A"/>
    <w:multiLevelType w:val="hybridMultilevel"/>
    <w:tmpl w:val="458A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6230E"/>
    <w:multiLevelType w:val="singleLevel"/>
    <w:tmpl w:val="FD1E32E8"/>
    <w:lvl w:ilvl="0">
      <w:start w:val="1"/>
      <w:numFmt w:val="decimal"/>
      <w:pStyle w:val="TableListNumber"/>
      <w:lvlText w:val="%1."/>
      <w:lvlJc w:val="left"/>
      <w:pPr>
        <w:tabs>
          <w:tab w:val="num" w:pos="360"/>
        </w:tabs>
        <w:ind w:left="298" w:hanging="298"/>
      </w:pPr>
      <w:rPr>
        <w:rFonts w:cs="Times New Roman"/>
      </w:rPr>
    </w:lvl>
  </w:abstractNum>
  <w:abstractNum w:abstractNumId="18" w15:restartNumberingAfterBreak="0">
    <w:nsid w:val="377B2D45"/>
    <w:multiLevelType w:val="hybridMultilevel"/>
    <w:tmpl w:val="FD52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21A3C"/>
    <w:multiLevelType w:val="hybridMultilevel"/>
    <w:tmpl w:val="719AC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3E497C"/>
    <w:multiLevelType w:val="hybridMultilevel"/>
    <w:tmpl w:val="48AC662E"/>
    <w:lvl w:ilvl="0" w:tplc="76FAE8F2">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761BD"/>
    <w:multiLevelType w:val="hybridMultilevel"/>
    <w:tmpl w:val="A754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34C7F"/>
    <w:multiLevelType w:val="hybridMultilevel"/>
    <w:tmpl w:val="AE6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F3206"/>
    <w:multiLevelType w:val="singleLevel"/>
    <w:tmpl w:val="C7187960"/>
    <w:name w:val="PwCHeadingListTemplate"/>
    <w:lvl w:ilvl="0">
      <w:start w:val="1"/>
      <w:numFmt w:val="decimal"/>
      <w:lvlText w:val="%1"/>
      <w:lvlJc w:val="left"/>
      <w:pPr>
        <w:tabs>
          <w:tab w:val="num" w:pos="510"/>
        </w:tabs>
        <w:ind w:left="510" w:hanging="510"/>
      </w:pPr>
      <w:rPr>
        <w:rFonts w:cs="Times New Roman"/>
      </w:rPr>
    </w:lvl>
  </w:abstractNum>
  <w:abstractNum w:abstractNumId="24" w15:restartNumberingAfterBreak="0">
    <w:nsid w:val="4C69122A"/>
    <w:multiLevelType w:val="hybridMultilevel"/>
    <w:tmpl w:val="D9504B3C"/>
    <w:lvl w:ilvl="0" w:tplc="F5FC7090">
      <w:start w:val="1"/>
      <w:numFmt w:val="bullet"/>
      <w:lvlText w:val="·"/>
      <w:lvlJc w:val="left"/>
      <w:pPr>
        <w:tabs>
          <w:tab w:val="num" w:pos="0"/>
        </w:tabs>
        <w:ind w:left="1077" w:hanging="360"/>
      </w:pPr>
      <w:rPr>
        <w:rFonts w:ascii="Symbol" w:hAnsi="Symbol" w:hint="default"/>
        <w:i w:val="0"/>
      </w:rPr>
    </w:lvl>
    <w:lvl w:ilvl="1" w:tplc="E34A44F6">
      <w:start w:val="1"/>
      <w:numFmt w:val="bullet"/>
      <w:lvlText w:val="o"/>
      <w:lvlJc w:val="left"/>
      <w:pPr>
        <w:tabs>
          <w:tab w:val="num" w:pos="0"/>
        </w:tabs>
        <w:ind w:left="1797" w:hanging="360"/>
      </w:pPr>
    </w:lvl>
    <w:lvl w:ilvl="2" w:tplc="106073CC">
      <w:start w:val="1"/>
      <w:numFmt w:val="bullet"/>
      <w:lvlText w:val="§"/>
      <w:lvlJc w:val="left"/>
      <w:pPr>
        <w:tabs>
          <w:tab w:val="num" w:pos="0"/>
        </w:tabs>
        <w:ind w:left="2517" w:hanging="360"/>
      </w:pPr>
    </w:lvl>
    <w:lvl w:ilvl="3" w:tplc="E5FA537C">
      <w:start w:val="1"/>
      <w:numFmt w:val="bullet"/>
      <w:lvlText w:val="·"/>
      <w:lvlJc w:val="left"/>
      <w:pPr>
        <w:tabs>
          <w:tab w:val="num" w:pos="0"/>
        </w:tabs>
        <w:ind w:left="3237" w:hanging="360"/>
      </w:pPr>
    </w:lvl>
    <w:lvl w:ilvl="4" w:tplc="1D6E86C0">
      <w:start w:val="1"/>
      <w:numFmt w:val="bullet"/>
      <w:lvlText w:val="o"/>
      <w:lvlJc w:val="left"/>
      <w:pPr>
        <w:tabs>
          <w:tab w:val="num" w:pos="0"/>
        </w:tabs>
        <w:ind w:left="3957" w:hanging="360"/>
      </w:pPr>
    </w:lvl>
    <w:lvl w:ilvl="5" w:tplc="01C890E8">
      <w:start w:val="1"/>
      <w:numFmt w:val="bullet"/>
      <w:lvlText w:val="§"/>
      <w:lvlJc w:val="left"/>
      <w:pPr>
        <w:tabs>
          <w:tab w:val="num" w:pos="0"/>
        </w:tabs>
        <w:ind w:left="4677" w:hanging="360"/>
      </w:pPr>
    </w:lvl>
    <w:lvl w:ilvl="6" w:tplc="B74A3016">
      <w:start w:val="1"/>
      <w:numFmt w:val="bullet"/>
      <w:lvlText w:val="·"/>
      <w:lvlJc w:val="left"/>
      <w:pPr>
        <w:tabs>
          <w:tab w:val="num" w:pos="0"/>
        </w:tabs>
        <w:ind w:left="5397" w:hanging="360"/>
      </w:pPr>
    </w:lvl>
    <w:lvl w:ilvl="7" w:tplc="271CCF4E">
      <w:start w:val="1"/>
      <w:numFmt w:val="bullet"/>
      <w:lvlText w:val="o"/>
      <w:lvlJc w:val="left"/>
      <w:pPr>
        <w:tabs>
          <w:tab w:val="num" w:pos="0"/>
        </w:tabs>
        <w:ind w:left="6117" w:hanging="360"/>
      </w:pPr>
    </w:lvl>
    <w:lvl w:ilvl="8" w:tplc="8F0C6254">
      <w:start w:val="1"/>
      <w:numFmt w:val="bullet"/>
      <w:lvlText w:val="§"/>
      <w:lvlJc w:val="left"/>
      <w:pPr>
        <w:tabs>
          <w:tab w:val="num" w:pos="0"/>
        </w:tabs>
        <w:ind w:left="6837" w:hanging="360"/>
      </w:pPr>
    </w:lvl>
  </w:abstractNum>
  <w:abstractNum w:abstractNumId="25" w15:restartNumberingAfterBreak="0">
    <w:nsid w:val="54E3606A"/>
    <w:multiLevelType w:val="hybridMultilevel"/>
    <w:tmpl w:val="1C90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14BA5"/>
    <w:multiLevelType w:val="hybridMultilevel"/>
    <w:tmpl w:val="92DA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240B8"/>
    <w:multiLevelType w:val="hybridMultilevel"/>
    <w:tmpl w:val="07BE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13C2B"/>
    <w:multiLevelType w:val="multilevel"/>
    <w:tmpl w:val="CBF621C4"/>
    <w:lvl w:ilvl="0">
      <w:start w:val="1"/>
      <w:numFmt w:val="decimal"/>
      <w:pStyle w:val="Numbering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5"/>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7348714C"/>
    <w:multiLevelType w:val="singleLevel"/>
    <w:tmpl w:val="08090001"/>
    <w:name w:val="PwCHeadingListTemplate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8A5502"/>
    <w:multiLevelType w:val="hybridMultilevel"/>
    <w:tmpl w:val="F964F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D1C9B"/>
    <w:multiLevelType w:val="multilevel"/>
    <w:tmpl w:val="446A0214"/>
    <w:name w:val="PwCBulletListTemplate"/>
    <w:lvl w:ilvl="0">
      <w:start w:val="1"/>
      <w:numFmt w:val="bullet"/>
      <w:pStyle w:val="ListBullet"/>
      <w:lvlText w:val="§"/>
      <w:lvlJc w:val="left"/>
      <w:pPr>
        <w:tabs>
          <w:tab w:val="num" w:pos="596"/>
        </w:tabs>
        <w:ind w:left="596" w:hanging="595"/>
      </w:pPr>
      <w:rPr>
        <w:rFonts w:ascii="Wingdings" w:hAnsi="Wingdings"/>
        <w:sz w:val="18"/>
      </w:rPr>
    </w:lvl>
    <w:lvl w:ilvl="1">
      <w:start w:val="1"/>
      <w:numFmt w:val="bullet"/>
      <w:pStyle w:val="ListBullet2"/>
      <w:lvlText w:val="§"/>
      <w:lvlJc w:val="left"/>
      <w:pPr>
        <w:tabs>
          <w:tab w:val="num" w:pos="1192"/>
        </w:tabs>
        <w:ind w:left="1192" w:hanging="595"/>
      </w:pPr>
      <w:rPr>
        <w:rFonts w:ascii="Wingdings" w:hAnsi="Wingdings"/>
        <w:sz w:val="18"/>
      </w:rPr>
    </w:lvl>
    <w:lvl w:ilvl="2">
      <w:start w:val="1"/>
      <w:numFmt w:val="bullet"/>
      <w:pStyle w:val="ListBullet3"/>
      <w:lvlText w:val="§"/>
      <w:lvlJc w:val="left"/>
      <w:pPr>
        <w:tabs>
          <w:tab w:val="num" w:pos="1787"/>
        </w:tabs>
        <w:ind w:left="1787" w:hanging="595"/>
      </w:pPr>
      <w:rPr>
        <w:rFonts w:ascii="Wingdings" w:hAnsi="Wingdings"/>
        <w:sz w:val="18"/>
      </w:rPr>
    </w:lvl>
    <w:lvl w:ilvl="3">
      <w:start w:val="1"/>
      <w:numFmt w:val="bullet"/>
      <w:pStyle w:val="ListBullet4"/>
      <w:lvlText w:val="§"/>
      <w:lvlJc w:val="left"/>
      <w:pPr>
        <w:tabs>
          <w:tab w:val="num" w:pos="2382"/>
        </w:tabs>
        <w:ind w:left="2382" w:hanging="595"/>
      </w:pPr>
      <w:rPr>
        <w:rFonts w:ascii="Wingdings" w:hAnsi="Wingdings"/>
        <w:sz w:val="18"/>
      </w:rPr>
    </w:lvl>
    <w:lvl w:ilvl="4">
      <w:start w:val="1"/>
      <w:numFmt w:val="bullet"/>
      <w:pStyle w:val="ListBullet5"/>
      <w:lvlText w:val="§"/>
      <w:lvlJc w:val="left"/>
      <w:pPr>
        <w:tabs>
          <w:tab w:val="num" w:pos="2977"/>
        </w:tabs>
        <w:ind w:left="2977" w:hanging="595"/>
      </w:pPr>
      <w:rPr>
        <w:rFonts w:ascii="Wingdings" w:hAnsi="Wingdings"/>
        <w:sz w:val="18"/>
      </w:rPr>
    </w:lvl>
    <w:lvl w:ilvl="5">
      <w:start w:val="1"/>
      <w:numFmt w:val="bullet"/>
      <w:lvlText w:val="§"/>
      <w:lvlJc w:val="left"/>
      <w:pPr>
        <w:tabs>
          <w:tab w:val="num" w:pos="3573"/>
        </w:tabs>
        <w:ind w:left="3573" w:hanging="595"/>
      </w:pPr>
      <w:rPr>
        <w:rFonts w:ascii="Wingdings" w:hAnsi="Wingdings"/>
        <w:sz w:val="18"/>
      </w:rPr>
    </w:lvl>
    <w:lvl w:ilvl="6">
      <w:start w:val="1"/>
      <w:numFmt w:val="bullet"/>
      <w:lvlText w:val="§"/>
      <w:lvlJc w:val="left"/>
      <w:pPr>
        <w:tabs>
          <w:tab w:val="num" w:pos="4168"/>
        </w:tabs>
        <w:ind w:left="4168" w:hanging="595"/>
      </w:pPr>
      <w:rPr>
        <w:rFonts w:ascii="Wingdings" w:hAnsi="Wingdings"/>
        <w:sz w:val="18"/>
      </w:rPr>
    </w:lvl>
    <w:lvl w:ilvl="7">
      <w:start w:val="1"/>
      <w:numFmt w:val="bullet"/>
      <w:lvlText w:val="§"/>
      <w:lvlJc w:val="left"/>
      <w:pPr>
        <w:tabs>
          <w:tab w:val="num" w:pos="4763"/>
        </w:tabs>
        <w:ind w:left="4763" w:hanging="595"/>
      </w:pPr>
      <w:rPr>
        <w:rFonts w:ascii="Wingdings" w:hAnsi="Wingdings"/>
        <w:sz w:val="18"/>
      </w:rPr>
    </w:lvl>
    <w:lvl w:ilvl="8">
      <w:start w:val="1"/>
      <w:numFmt w:val="bullet"/>
      <w:lvlText w:val="§"/>
      <w:lvlJc w:val="left"/>
      <w:pPr>
        <w:tabs>
          <w:tab w:val="num" w:pos="4763"/>
        </w:tabs>
        <w:ind w:left="4763" w:hanging="595"/>
      </w:pPr>
      <w:rPr>
        <w:rFonts w:ascii="Wingdings" w:hAnsi="Wingdings"/>
        <w:sz w:val="18"/>
      </w:rPr>
    </w:lvl>
  </w:abstractNum>
  <w:abstractNum w:abstractNumId="32" w15:restartNumberingAfterBreak="0">
    <w:nsid w:val="7AD87643"/>
    <w:multiLevelType w:val="hybridMultilevel"/>
    <w:tmpl w:val="71DE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F91D15"/>
    <w:multiLevelType w:val="hybridMultilevel"/>
    <w:tmpl w:val="EC7A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F52616"/>
    <w:multiLevelType w:val="hybridMultilevel"/>
    <w:tmpl w:val="AB9AD216"/>
    <w:lvl w:ilvl="0" w:tplc="640EC61C">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8"/>
  </w:num>
  <w:num w:numId="3">
    <w:abstractNumId w:val="3"/>
  </w:num>
  <w:num w:numId="4">
    <w:abstractNumId w:val="17"/>
  </w:num>
  <w:num w:numId="5">
    <w:abstractNumId w:val="13"/>
  </w:num>
  <w:num w:numId="6">
    <w:abstractNumId w:val="28"/>
  </w:num>
  <w:num w:numId="7">
    <w:abstractNumId w:val="5"/>
  </w:num>
  <w:num w:numId="8">
    <w:abstractNumId w:val="11"/>
  </w:num>
  <w:num w:numId="9">
    <w:abstractNumId w:val="2"/>
  </w:num>
  <w:num w:numId="10">
    <w:abstractNumId w:val="24"/>
  </w:num>
  <w:num w:numId="11">
    <w:abstractNumId w:val="12"/>
  </w:num>
  <w:num w:numId="12">
    <w:abstractNumId w:val="0"/>
  </w:num>
  <w:num w:numId="13">
    <w:abstractNumId w:val="6"/>
  </w:num>
  <w:num w:numId="14">
    <w:abstractNumId w:val="21"/>
  </w:num>
  <w:num w:numId="15">
    <w:abstractNumId w:val="7"/>
  </w:num>
  <w:num w:numId="16">
    <w:abstractNumId w:val="30"/>
  </w:num>
  <w:num w:numId="17">
    <w:abstractNumId w:val="25"/>
  </w:num>
  <w:num w:numId="18">
    <w:abstractNumId w:val="20"/>
  </w:num>
  <w:num w:numId="19">
    <w:abstractNumId w:val="15"/>
  </w:num>
  <w:num w:numId="20">
    <w:abstractNumId w:val="16"/>
  </w:num>
  <w:num w:numId="21">
    <w:abstractNumId w:val="27"/>
  </w:num>
  <w:num w:numId="22">
    <w:abstractNumId w:val="32"/>
  </w:num>
  <w:num w:numId="23">
    <w:abstractNumId w:val="4"/>
  </w:num>
  <w:num w:numId="24">
    <w:abstractNumId w:val="26"/>
  </w:num>
  <w:num w:numId="25">
    <w:abstractNumId w:val="1"/>
  </w:num>
  <w:num w:numId="26">
    <w:abstractNumId w:val="22"/>
  </w:num>
  <w:num w:numId="27">
    <w:abstractNumId w:val="19"/>
  </w:num>
  <w:num w:numId="28">
    <w:abstractNumId w:val="33"/>
  </w:num>
  <w:num w:numId="29">
    <w:abstractNumId w:val="9"/>
  </w:num>
  <w:num w:numId="30">
    <w:abstractNumId w:val="18"/>
  </w:num>
  <w:num w:numId="31">
    <w:abstractNumId w:val="34"/>
  </w:num>
  <w:num w:numId="32">
    <w:abstractNumId w:val="10"/>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6C"/>
    <w:rsid w:val="00001919"/>
    <w:rsid w:val="00002AFA"/>
    <w:rsid w:val="00002B87"/>
    <w:rsid w:val="000034CE"/>
    <w:rsid w:val="0000492B"/>
    <w:rsid w:val="00005054"/>
    <w:rsid w:val="00005AF3"/>
    <w:rsid w:val="00005FCD"/>
    <w:rsid w:val="00006121"/>
    <w:rsid w:val="000062DF"/>
    <w:rsid w:val="00006F3B"/>
    <w:rsid w:val="00007A25"/>
    <w:rsid w:val="00010001"/>
    <w:rsid w:val="00010348"/>
    <w:rsid w:val="000115C2"/>
    <w:rsid w:val="0001324F"/>
    <w:rsid w:val="000142B7"/>
    <w:rsid w:val="0001591F"/>
    <w:rsid w:val="000167CE"/>
    <w:rsid w:val="00016FF1"/>
    <w:rsid w:val="00017110"/>
    <w:rsid w:val="000201BE"/>
    <w:rsid w:val="00020555"/>
    <w:rsid w:val="0002251F"/>
    <w:rsid w:val="00024A28"/>
    <w:rsid w:val="000250FB"/>
    <w:rsid w:val="00025D37"/>
    <w:rsid w:val="00027351"/>
    <w:rsid w:val="0002794C"/>
    <w:rsid w:val="00027BC5"/>
    <w:rsid w:val="00027CBF"/>
    <w:rsid w:val="00031EE7"/>
    <w:rsid w:val="0003388B"/>
    <w:rsid w:val="00033A0C"/>
    <w:rsid w:val="0003478E"/>
    <w:rsid w:val="000354BD"/>
    <w:rsid w:val="0003550C"/>
    <w:rsid w:val="00036185"/>
    <w:rsid w:val="00036E24"/>
    <w:rsid w:val="00037B1A"/>
    <w:rsid w:val="00037E9D"/>
    <w:rsid w:val="0004185A"/>
    <w:rsid w:val="0004454C"/>
    <w:rsid w:val="000447E3"/>
    <w:rsid w:val="000456F9"/>
    <w:rsid w:val="00046A29"/>
    <w:rsid w:val="000476BD"/>
    <w:rsid w:val="00050353"/>
    <w:rsid w:val="00051820"/>
    <w:rsid w:val="0005374E"/>
    <w:rsid w:val="00053E6F"/>
    <w:rsid w:val="000540D0"/>
    <w:rsid w:val="00054E31"/>
    <w:rsid w:val="00055E26"/>
    <w:rsid w:val="00056450"/>
    <w:rsid w:val="000564A7"/>
    <w:rsid w:val="00056533"/>
    <w:rsid w:val="00057044"/>
    <w:rsid w:val="000606FE"/>
    <w:rsid w:val="00060816"/>
    <w:rsid w:val="00061036"/>
    <w:rsid w:val="000622DD"/>
    <w:rsid w:val="0006244A"/>
    <w:rsid w:val="0006440E"/>
    <w:rsid w:val="00064C6A"/>
    <w:rsid w:val="00064EC4"/>
    <w:rsid w:val="00066278"/>
    <w:rsid w:val="000671AC"/>
    <w:rsid w:val="00074A7C"/>
    <w:rsid w:val="00074E03"/>
    <w:rsid w:val="0007512C"/>
    <w:rsid w:val="00075EDB"/>
    <w:rsid w:val="000761AC"/>
    <w:rsid w:val="00076588"/>
    <w:rsid w:val="00080502"/>
    <w:rsid w:val="00082D0B"/>
    <w:rsid w:val="00084896"/>
    <w:rsid w:val="00085A81"/>
    <w:rsid w:val="00090684"/>
    <w:rsid w:val="00090E36"/>
    <w:rsid w:val="0009148C"/>
    <w:rsid w:val="00092462"/>
    <w:rsid w:val="000924A4"/>
    <w:rsid w:val="000929C3"/>
    <w:rsid w:val="00092FA6"/>
    <w:rsid w:val="00093534"/>
    <w:rsid w:val="000944BA"/>
    <w:rsid w:val="00095A72"/>
    <w:rsid w:val="00096730"/>
    <w:rsid w:val="000A023D"/>
    <w:rsid w:val="000A0571"/>
    <w:rsid w:val="000A40A2"/>
    <w:rsid w:val="000A428F"/>
    <w:rsid w:val="000A432C"/>
    <w:rsid w:val="000A5811"/>
    <w:rsid w:val="000A6767"/>
    <w:rsid w:val="000A6923"/>
    <w:rsid w:val="000A72B3"/>
    <w:rsid w:val="000B03A2"/>
    <w:rsid w:val="000B0A47"/>
    <w:rsid w:val="000B2DD7"/>
    <w:rsid w:val="000B6A38"/>
    <w:rsid w:val="000B7A1C"/>
    <w:rsid w:val="000C0BBB"/>
    <w:rsid w:val="000C0FE2"/>
    <w:rsid w:val="000C13E9"/>
    <w:rsid w:val="000C15A9"/>
    <w:rsid w:val="000C15E3"/>
    <w:rsid w:val="000C1C9B"/>
    <w:rsid w:val="000C6507"/>
    <w:rsid w:val="000C76D6"/>
    <w:rsid w:val="000D0D17"/>
    <w:rsid w:val="000D0ED6"/>
    <w:rsid w:val="000D1EB8"/>
    <w:rsid w:val="000D2126"/>
    <w:rsid w:val="000D2175"/>
    <w:rsid w:val="000D41DB"/>
    <w:rsid w:val="000D4DB2"/>
    <w:rsid w:val="000D606E"/>
    <w:rsid w:val="000D7199"/>
    <w:rsid w:val="000E06CE"/>
    <w:rsid w:val="000E1077"/>
    <w:rsid w:val="000E417E"/>
    <w:rsid w:val="000E444C"/>
    <w:rsid w:val="000E4525"/>
    <w:rsid w:val="000E72A8"/>
    <w:rsid w:val="000E7957"/>
    <w:rsid w:val="000E79E3"/>
    <w:rsid w:val="000E7AE0"/>
    <w:rsid w:val="000F00DE"/>
    <w:rsid w:val="000F05F2"/>
    <w:rsid w:val="000F1F79"/>
    <w:rsid w:val="000F31D5"/>
    <w:rsid w:val="00100127"/>
    <w:rsid w:val="00100809"/>
    <w:rsid w:val="0010099B"/>
    <w:rsid w:val="001010FA"/>
    <w:rsid w:val="00102239"/>
    <w:rsid w:val="00102864"/>
    <w:rsid w:val="00102CE8"/>
    <w:rsid w:val="00104559"/>
    <w:rsid w:val="0010563F"/>
    <w:rsid w:val="00106716"/>
    <w:rsid w:val="00106C6A"/>
    <w:rsid w:val="00110220"/>
    <w:rsid w:val="001106AB"/>
    <w:rsid w:val="0011122E"/>
    <w:rsid w:val="00111B8F"/>
    <w:rsid w:val="0011308F"/>
    <w:rsid w:val="0011336B"/>
    <w:rsid w:val="001139EE"/>
    <w:rsid w:val="00114929"/>
    <w:rsid w:val="00115071"/>
    <w:rsid w:val="00116304"/>
    <w:rsid w:val="001166DB"/>
    <w:rsid w:val="0011764F"/>
    <w:rsid w:val="00117A70"/>
    <w:rsid w:val="00117D38"/>
    <w:rsid w:val="00121E60"/>
    <w:rsid w:val="001228DE"/>
    <w:rsid w:val="00123C6F"/>
    <w:rsid w:val="00124F97"/>
    <w:rsid w:val="00125305"/>
    <w:rsid w:val="00130D05"/>
    <w:rsid w:val="00132886"/>
    <w:rsid w:val="00133142"/>
    <w:rsid w:val="00133403"/>
    <w:rsid w:val="0013341E"/>
    <w:rsid w:val="001373E6"/>
    <w:rsid w:val="0014031C"/>
    <w:rsid w:val="00140A87"/>
    <w:rsid w:val="00141DA2"/>
    <w:rsid w:val="00142895"/>
    <w:rsid w:val="00144652"/>
    <w:rsid w:val="001452C1"/>
    <w:rsid w:val="00147633"/>
    <w:rsid w:val="00150172"/>
    <w:rsid w:val="00150944"/>
    <w:rsid w:val="0015169A"/>
    <w:rsid w:val="001526E7"/>
    <w:rsid w:val="0015317E"/>
    <w:rsid w:val="00153AC1"/>
    <w:rsid w:val="00154C78"/>
    <w:rsid w:val="00155F9E"/>
    <w:rsid w:val="00156F85"/>
    <w:rsid w:val="001602C0"/>
    <w:rsid w:val="00160C1B"/>
    <w:rsid w:val="00162806"/>
    <w:rsid w:val="00163103"/>
    <w:rsid w:val="00163358"/>
    <w:rsid w:val="0016414A"/>
    <w:rsid w:val="00164888"/>
    <w:rsid w:val="00164C0C"/>
    <w:rsid w:val="00165B98"/>
    <w:rsid w:val="00166904"/>
    <w:rsid w:val="00167871"/>
    <w:rsid w:val="001701B7"/>
    <w:rsid w:val="00170D25"/>
    <w:rsid w:val="00170EB2"/>
    <w:rsid w:val="001711BB"/>
    <w:rsid w:val="00171980"/>
    <w:rsid w:val="00171B85"/>
    <w:rsid w:val="001728CE"/>
    <w:rsid w:val="001742AA"/>
    <w:rsid w:val="00175515"/>
    <w:rsid w:val="0017682F"/>
    <w:rsid w:val="00176BB4"/>
    <w:rsid w:val="00177543"/>
    <w:rsid w:val="001777FF"/>
    <w:rsid w:val="001825F2"/>
    <w:rsid w:val="00182BBA"/>
    <w:rsid w:val="00184142"/>
    <w:rsid w:val="001851A7"/>
    <w:rsid w:val="0018680B"/>
    <w:rsid w:val="001929A1"/>
    <w:rsid w:val="0019549A"/>
    <w:rsid w:val="0019576A"/>
    <w:rsid w:val="0019587D"/>
    <w:rsid w:val="00196CA3"/>
    <w:rsid w:val="00197487"/>
    <w:rsid w:val="001A0923"/>
    <w:rsid w:val="001A0C7B"/>
    <w:rsid w:val="001A136E"/>
    <w:rsid w:val="001A2068"/>
    <w:rsid w:val="001A39A9"/>
    <w:rsid w:val="001A55DA"/>
    <w:rsid w:val="001A746A"/>
    <w:rsid w:val="001B1BB5"/>
    <w:rsid w:val="001B221C"/>
    <w:rsid w:val="001B2584"/>
    <w:rsid w:val="001B2CE8"/>
    <w:rsid w:val="001B550A"/>
    <w:rsid w:val="001B5CCE"/>
    <w:rsid w:val="001B69A4"/>
    <w:rsid w:val="001B7EB7"/>
    <w:rsid w:val="001B7F9A"/>
    <w:rsid w:val="001C058B"/>
    <w:rsid w:val="001C1DD0"/>
    <w:rsid w:val="001C2D63"/>
    <w:rsid w:val="001C3E81"/>
    <w:rsid w:val="001C6656"/>
    <w:rsid w:val="001C79EE"/>
    <w:rsid w:val="001D069C"/>
    <w:rsid w:val="001D12D5"/>
    <w:rsid w:val="001D1B84"/>
    <w:rsid w:val="001D1D06"/>
    <w:rsid w:val="001D1D1E"/>
    <w:rsid w:val="001D3626"/>
    <w:rsid w:val="001D3C96"/>
    <w:rsid w:val="001D4022"/>
    <w:rsid w:val="001D5960"/>
    <w:rsid w:val="001D7618"/>
    <w:rsid w:val="001D78E0"/>
    <w:rsid w:val="001E09F4"/>
    <w:rsid w:val="001E0CCB"/>
    <w:rsid w:val="001E10FD"/>
    <w:rsid w:val="001E1F4F"/>
    <w:rsid w:val="001E3350"/>
    <w:rsid w:val="001E3841"/>
    <w:rsid w:val="001E4727"/>
    <w:rsid w:val="001F041B"/>
    <w:rsid w:val="001F3FC8"/>
    <w:rsid w:val="001F6BDC"/>
    <w:rsid w:val="00203D13"/>
    <w:rsid w:val="00203FCD"/>
    <w:rsid w:val="002049A0"/>
    <w:rsid w:val="00204AD2"/>
    <w:rsid w:val="00204DDE"/>
    <w:rsid w:val="00205849"/>
    <w:rsid w:val="00206ABC"/>
    <w:rsid w:val="00210237"/>
    <w:rsid w:val="002122BF"/>
    <w:rsid w:val="0021349F"/>
    <w:rsid w:val="00217D26"/>
    <w:rsid w:val="00220AFB"/>
    <w:rsid w:val="00222CED"/>
    <w:rsid w:val="002236FF"/>
    <w:rsid w:val="0022442F"/>
    <w:rsid w:val="00224BE9"/>
    <w:rsid w:val="00224E36"/>
    <w:rsid w:val="00226492"/>
    <w:rsid w:val="002274F2"/>
    <w:rsid w:val="00231DC1"/>
    <w:rsid w:val="00233F92"/>
    <w:rsid w:val="00234534"/>
    <w:rsid w:val="0023647C"/>
    <w:rsid w:val="0023672D"/>
    <w:rsid w:val="00237029"/>
    <w:rsid w:val="00237F77"/>
    <w:rsid w:val="002408CE"/>
    <w:rsid w:val="00240D2C"/>
    <w:rsid w:val="002420DB"/>
    <w:rsid w:val="002434AF"/>
    <w:rsid w:val="002450D3"/>
    <w:rsid w:val="00246438"/>
    <w:rsid w:val="002501A7"/>
    <w:rsid w:val="002505FB"/>
    <w:rsid w:val="00252583"/>
    <w:rsid w:val="00252FC8"/>
    <w:rsid w:val="002536DD"/>
    <w:rsid w:val="00253C09"/>
    <w:rsid w:val="00254C78"/>
    <w:rsid w:val="00254E0E"/>
    <w:rsid w:val="00255DFD"/>
    <w:rsid w:val="00256339"/>
    <w:rsid w:val="002607C3"/>
    <w:rsid w:val="00260D3F"/>
    <w:rsid w:val="002632A0"/>
    <w:rsid w:val="002645AC"/>
    <w:rsid w:val="00264F8E"/>
    <w:rsid w:val="002673E2"/>
    <w:rsid w:val="00271CFE"/>
    <w:rsid w:val="00272015"/>
    <w:rsid w:val="0027209F"/>
    <w:rsid w:val="002724A4"/>
    <w:rsid w:val="002750E9"/>
    <w:rsid w:val="00276998"/>
    <w:rsid w:val="00276A14"/>
    <w:rsid w:val="00276B3F"/>
    <w:rsid w:val="0028016E"/>
    <w:rsid w:val="00280DCA"/>
    <w:rsid w:val="00285A4C"/>
    <w:rsid w:val="00286B85"/>
    <w:rsid w:val="0028736D"/>
    <w:rsid w:val="002903E8"/>
    <w:rsid w:val="00290F50"/>
    <w:rsid w:val="002913B8"/>
    <w:rsid w:val="0029156B"/>
    <w:rsid w:val="002931EE"/>
    <w:rsid w:val="00293862"/>
    <w:rsid w:val="00294408"/>
    <w:rsid w:val="00295C99"/>
    <w:rsid w:val="00295FA2"/>
    <w:rsid w:val="002A01F6"/>
    <w:rsid w:val="002A3735"/>
    <w:rsid w:val="002A4104"/>
    <w:rsid w:val="002A579E"/>
    <w:rsid w:val="002A5F01"/>
    <w:rsid w:val="002A6B58"/>
    <w:rsid w:val="002A7216"/>
    <w:rsid w:val="002B18F5"/>
    <w:rsid w:val="002B2821"/>
    <w:rsid w:val="002B2966"/>
    <w:rsid w:val="002B3C5D"/>
    <w:rsid w:val="002B5265"/>
    <w:rsid w:val="002B7504"/>
    <w:rsid w:val="002C4431"/>
    <w:rsid w:val="002D0169"/>
    <w:rsid w:val="002D2008"/>
    <w:rsid w:val="002D22AC"/>
    <w:rsid w:val="002D371E"/>
    <w:rsid w:val="002D39F5"/>
    <w:rsid w:val="002D458D"/>
    <w:rsid w:val="002D4C4D"/>
    <w:rsid w:val="002D4CDD"/>
    <w:rsid w:val="002D4D5F"/>
    <w:rsid w:val="002D53BE"/>
    <w:rsid w:val="002D6670"/>
    <w:rsid w:val="002D7639"/>
    <w:rsid w:val="002E23F7"/>
    <w:rsid w:val="002E5D81"/>
    <w:rsid w:val="002F31C0"/>
    <w:rsid w:val="002F4F02"/>
    <w:rsid w:val="002F54B2"/>
    <w:rsid w:val="002F7105"/>
    <w:rsid w:val="002F78D5"/>
    <w:rsid w:val="00300065"/>
    <w:rsid w:val="00300623"/>
    <w:rsid w:val="0030135D"/>
    <w:rsid w:val="003035FE"/>
    <w:rsid w:val="0030439F"/>
    <w:rsid w:val="00304729"/>
    <w:rsid w:val="00305333"/>
    <w:rsid w:val="00307E17"/>
    <w:rsid w:val="00310D55"/>
    <w:rsid w:val="00315C88"/>
    <w:rsid w:val="00315D6B"/>
    <w:rsid w:val="0031610B"/>
    <w:rsid w:val="003174E3"/>
    <w:rsid w:val="0031771E"/>
    <w:rsid w:val="00321BEE"/>
    <w:rsid w:val="00322E93"/>
    <w:rsid w:val="0032301C"/>
    <w:rsid w:val="003243AE"/>
    <w:rsid w:val="00330858"/>
    <w:rsid w:val="00331FA7"/>
    <w:rsid w:val="00332A2A"/>
    <w:rsid w:val="00332D02"/>
    <w:rsid w:val="003342B0"/>
    <w:rsid w:val="003343C3"/>
    <w:rsid w:val="00334559"/>
    <w:rsid w:val="003347BF"/>
    <w:rsid w:val="00335340"/>
    <w:rsid w:val="003360CA"/>
    <w:rsid w:val="00340397"/>
    <w:rsid w:val="003418CE"/>
    <w:rsid w:val="0034232C"/>
    <w:rsid w:val="003456AD"/>
    <w:rsid w:val="00345AF3"/>
    <w:rsid w:val="00346674"/>
    <w:rsid w:val="00350CBA"/>
    <w:rsid w:val="00352A1B"/>
    <w:rsid w:val="00354621"/>
    <w:rsid w:val="003547DB"/>
    <w:rsid w:val="00354E45"/>
    <w:rsid w:val="00355E08"/>
    <w:rsid w:val="00356BE9"/>
    <w:rsid w:val="00360497"/>
    <w:rsid w:val="003605F5"/>
    <w:rsid w:val="0036297A"/>
    <w:rsid w:val="00363F44"/>
    <w:rsid w:val="00364A39"/>
    <w:rsid w:val="003661ED"/>
    <w:rsid w:val="003711EA"/>
    <w:rsid w:val="0037293B"/>
    <w:rsid w:val="00373D6C"/>
    <w:rsid w:val="003776EC"/>
    <w:rsid w:val="0038077E"/>
    <w:rsid w:val="00381A42"/>
    <w:rsid w:val="0038694C"/>
    <w:rsid w:val="00387380"/>
    <w:rsid w:val="00391619"/>
    <w:rsid w:val="00392163"/>
    <w:rsid w:val="00392867"/>
    <w:rsid w:val="00393353"/>
    <w:rsid w:val="003944E3"/>
    <w:rsid w:val="003A0EEB"/>
    <w:rsid w:val="003A1485"/>
    <w:rsid w:val="003A2AD2"/>
    <w:rsid w:val="003A3B8A"/>
    <w:rsid w:val="003A3E59"/>
    <w:rsid w:val="003A5E2B"/>
    <w:rsid w:val="003B33D0"/>
    <w:rsid w:val="003B5E75"/>
    <w:rsid w:val="003B65D4"/>
    <w:rsid w:val="003B796C"/>
    <w:rsid w:val="003C10A6"/>
    <w:rsid w:val="003C21D5"/>
    <w:rsid w:val="003C22B0"/>
    <w:rsid w:val="003C2B4C"/>
    <w:rsid w:val="003C38D9"/>
    <w:rsid w:val="003C4279"/>
    <w:rsid w:val="003C51DE"/>
    <w:rsid w:val="003D0323"/>
    <w:rsid w:val="003D0DFF"/>
    <w:rsid w:val="003D12FA"/>
    <w:rsid w:val="003D15E9"/>
    <w:rsid w:val="003D24D2"/>
    <w:rsid w:val="003D2612"/>
    <w:rsid w:val="003D2920"/>
    <w:rsid w:val="003D5D06"/>
    <w:rsid w:val="003D68C8"/>
    <w:rsid w:val="003D7397"/>
    <w:rsid w:val="003D771B"/>
    <w:rsid w:val="003E0415"/>
    <w:rsid w:val="003E0ADD"/>
    <w:rsid w:val="003E12AD"/>
    <w:rsid w:val="003E14C9"/>
    <w:rsid w:val="003E1854"/>
    <w:rsid w:val="003E1F00"/>
    <w:rsid w:val="003E25EE"/>
    <w:rsid w:val="003E483D"/>
    <w:rsid w:val="003E66F7"/>
    <w:rsid w:val="003E7E47"/>
    <w:rsid w:val="003E7E6C"/>
    <w:rsid w:val="003F1B29"/>
    <w:rsid w:val="003F3A20"/>
    <w:rsid w:val="003F461B"/>
    <w:rsid w:val="003F5E43"/>
    <w:rsid w:val="003F62D3"/>
    <w:rsid w:val="003F6E1E"/>
    <w:rsid w:val="003F79BB"/>
    <w:rsid w:val="00400F15"/>
    <w:rsid w:val="004015FF"/>
    <w:rsid w:val="004027FD"/>
    <w:rsid w:val="004033BA"/>
    <w:rsid w:val="0040357B"/>
    <w:rsid w:val="00403CF3"/>
    <w:rsid w:val="00406D27"/>
    <w:rsid w:val="0040704B"/>
    <w:rsid w:val="00407059"/>
    <w:rsid w:val="004113BE"/>
    <w:rsid w:val="00411A8A"/>
    <w:rsid w:val="0041303C"/>
    <w:rsid w:val="00413B51"/>
    <w:rsid w:val="00413B94"/>
    <w:rsid w:val="00413DAC"/>
    <w:rsid w:val="00413E3A"/>
    <w:rsid w:val="00414451"/>
    <w:rsid w:val="0041459D"/>
    <w:rsid w:val="00415407"/>
    <w:rsid w:val="00415AF4"/>
    <w:rsid w:val="004166D3"/>
    <w:rsid w:val="00416C94"/>
    <w:rsid w:val="00417DC7"/>
    <w:rsid w:val="0042103F"/>
    <w:rsid w:val="00421DB2"/>
    <w:rsid w:val="00422EC8"/>
    <w:rsid w:val="00423E24"/>
    <w:rsid w:val="004242B1"/>
    <w:rsid w:val="0042521F"/>
    <w:rsid w:val="00426527"/>
    <w:rsid w:val="00426663"/>
    <w:rsid w:val="00426AE6"/>
    <w:rsid w:val="004278C1"/>
    <w:rsid w:val="00430151"/>
    <w:rsid w:val="00430541"/>
    <w:rsid w:val="0043155D"/>
    <w:rsid w:val="00433319"/>
    <w:rsid w:val="004361DB"/>
    <w:rsid w:val="0043626E"/>
    <w:rsid w:val="00437669"/>
    <w:rsid w:val="00437BFF"/>
    <w:rsid w:val="00440592"/>
    <w:rsid w:val="004407FB"/>
    <w:rsid w:val="00440B72"/>
    <w:rsid w:val="00442D7F"/>
    <w:rsid w:val="004431C8"/>
    <w:rsid w:val="004438D3"/>
    <w:rsid w:val="004453C4"/>
    <w:rsid w:val="00445C69"/>
    <w:rsid w:val="00445D48"/>
    <w:rsid w:val="0044799B"/>
    <w:rsid w:val="00450C97"/>
    <w:rsid w:val="00450E64"/>
    <w:rsid w:val="004517BA"/>
    <w:rsid w:val="00451B02"/>
    <w:rsid w:val="00453095"/>
    <w:rsid w:val="00453475"/>
    <w:rsid w:val="00454183"/>
    <w:rsid w:val="0045638F"/>
    <w:rsid w:val="00457358"/>
    <w:rsid w:val="004600AA"/>
    <w:rsid w:val="004628BA"/>
    <w:rsid w:val="0046325E"/>
    <w:rsid w:val="0046360E"/>
    <w:rsid w:val="00463ADB"/>
    <w:rsid w:val="004643DC"/>
    <w:rsid w:val="00464A3B"/>
    <w:rsid w:val="00464DA3"/>
    <w:rsid w:val="0046706F"/>
    <w:rsid w:val="00470A91"/>
    <w:rsid w:val="0047149F"/>
    <w:rsid w:val="004720E2"/>
    <w:rsid w:val="004721B1"/>
    <w:rsid w:val="004724E6"/>
    <w:rsid w:val="00474CE7"/>
    <w:rsid w:val="00475737"/>
    <w:rsid w:val="004806C6"/>
    <w:rsid w:val="004809C3"/>
    <w:rsid w:val="0048234C"/>
    <w:rsid w:val="00482984"/>
    <w:rsid w:val="00482B65"/>
    <w:rsid w:val="00484588"/>
    <w:rsid w:val="004851D1"/>
    <w:rsid w:val="00486B2B"/>
    <w:rsid w:val="00487D13"/>
    <w:rsid w:val="004905C3"/>
    <w:rsid w:val="00492030"/>
    <w:rsid w:val="00492389"/>
    <w:rsid w:val="00492A0A"/>
    <w:rsid w:val="004936C9"/>
    <w:rsid w:val="00493715"/>
    <w:rsid w:val="00493C2E"/>
    <w:rsid w:val="004940DB"/>
    <w:rsid w:val="00494907"/>
    <w:rsid w:val="00494A95"/>
    <w:rsid w:val="00497519"/>
    <w:rsid w:val="00497D86"/>
    <w:rsid w:val="004A02AB"/>
    <w:rsid w:val="004A0393"/>
    <w:rsid w:val="004A0C7E"/>
    <w:rsid w:val="004A0D05"/>
    <w:rsid w:val="004A0E3D"/>
    <w:rsid w:val="004A0EDD"/>
    <w:rsid w:val="004A15FB"/>
    <w:rsid w:val="004A1E31"/>
    <w:rsid w:val="004A1ED8"/>
    <w:rsid w:val="004A1FBF"/>
    <w:rsid w:val="004A4179"/>
    <w:rsid w:val="004A5A6A"/>
    <w:rsid w:val="004A70EE"/>
    <w:rsid w:val="004A7662"/>
    <w:rsid w:val="004B0F07"/>
    <w:rsid w:val="004B28C6"/>
    <w:rsid w:val="004B3635"/>
    <w:rsid w:val="004B36D9"/>
    <w:rsid w:val="004B43E5"/>
    <w:rsid w:val="004B4ED6"/>
    <w:rsid w:val="004B5213"/>
    <w:rsid w:val="004B7BFB"/>
    <w:rsid w:val="004C01FE"/>
    <w:rsid w:val="004C0E5F"/>
    <w:rsid w:val="004C191B"/>
    <w:rsid w:val="004C2476"/>
    <w:rsid w:val="004C25E3"/>
    <w:rsid w:val="004C31B4"/>
    <w:rsid w:val="004C5875"/>
    <w:rsid w:val="004C76EE"/>
    <w:rsid w:val="004D05FD"/>
    <w:rsid w:val="004D09AA"/>
    <w:rsid w:val="004D42FA"/>
    <w:rsid w:val="004D5A73"/>
    <w:rsid w:val="004D6A1B"/>
    <w:rsid w:val="004D7AA8"/>
    <w:rsid w:val="004E2730"/>
    <w:rsid w:val="004E3103"/>
    <w:rsid w:val="004E3E94"/>
    <w:rsid w:val="004E54F0"/>
    <w:rsid w:val="004E62CE"/>
    <w:rsid w:val="004E7892"/>
    <w:rsid w:val="004F3644"/>
    <w:rsid w:val="004F5B92"/>
    <w:rsid w:val="004F66E0"/>
    <w:rsid w:val="004F73D5"/>
    <w:rsid w:val="004F7DF3"/>
    <w:rsid w:val="005002C0"/>
    <w:rsid w:val="0050155F"/>
    <w:rsid w:val="00502A37"/>
    <w:rsid w:val="005037F0"/>
    <w:rsid w:val="00503A9E"/>
    <w:rsid w:val="00504919"/>
    <w:rsid w:val="0050495B"/>
    <w:rsid w:val="00506275"/>
    <w:rsid w:val="0050691C"/>
    <w:rsid w:val="00506E03"/>
    <w:rsid w:val="00507034"/>
    <w:rsid w:val="00510E13"/>
    <w:rsid w:val="00510E3D"/>
    <w:rsid w:val="00510EAB"/>
    <w:rsid w:val="00511561"/>
    <w:rsid w:val="005117B3"/>
    <w:rsid w:val="00511EA3"/>
    <w:rsid w:val="00512DC4"/>
    <w:rsid w:val="005133AE"/>
    <w:rsid w:val="00514087"/>
    <w:rsid w:val="00514ACD"/>
    <w:rsid w:val="00514BFE"/>
    <w:rsid w:val="0051547D"/>
    <w:rsid w:val="00516865"/>
    <w:rsid w:val="00517B29"/>
    <w:rsid w:val="00517DBE"/>
    <w:rsid w:val="00517F72"/>
    <w:rsid w:val="005204A6"/>
    <w:rsid w:val="005211F6"/>
    <w:rsid w:val="00521559"/>
    <w:rsid w:val="00521B66"/>
    <w:rsid w:val="00524462"/>
    <w:rsid w:val="00525A0F"/>
    <w:rsid w:val="00526441"/>
    <w:rsid w:val="00526D8A"/>
    <w:rsid w:val="00531E34"/>
    <w:rsid w:val="00531F2A"/>
    <w:rsid w:val="00532955"/>
    <w:rsid w:val="00532DC6"/>
    <w:rsid w:val="00534321"/>
    <w:rsid w:val="0053510D"/>
    <w:rsid w:val="00535159"/>
    <w:rsid w:val="00535555"/>
    <w:rsid w:val="0053584D"/>
    <w:rsid w:val="005404C5"/>
    <w:rsid w:val="00540FF5"/>
    <w:rsid w:val="005417AC"/>
    <w:rsid w:val="00546420"/>
    <w:rsid w:val="00546676"/>
    <w:rsid w:val="00546DA1"/>
    <w:rsid w:val="00551019"/>
    <w:rsid w:val="00554F04"/>
    <w:rsid w:val="005555A2"/>
    <w:rsid w:val="00556E64"/>
    <w:rsid w:val="00557051"/>
    <w:rsid w:val="00557237"/>
    <w:rsid w:val="0056181C"/>
    <w:rsid w:val="00561A59"/>
    <w:rsid w:val="00561D81"/>
    <w:rsid w:val="00561DB5"/>
    <w:rsid w:val="00563DCC"/>
    <w:rsid w:val="005644A6"/>
    <w:rsid w:val="00564B95"/>
    <w:rsid w:val="0056547A"/>
    <w:rsid w:val="00567243"/>
    <w:rsid w:val="00570414"/>
    <w:rsid w:val="005706F8"/>
    <w:rsid w:val="00570C47"/>
    <w:rsid w:val="00571339"/>
    <w:rsid w:val="005713F8"/>
    <w:rsid w:val="00571FE3"/>
    <w:rsid w:val="00571FFA"/>
    <w:rsid w:val="0057307E"/>
    <w:rsid w:val="00573AFF"/>
    <w:rsid w:val="005740DE"/>
    <w:rsid w:val="00575452"/>
    <w:rsid w:val="00576B8E"/>
    <w:rsid w:val="005774C8"/>
    <w:rsid w:val="0057760C"/>
    <w:rsid w:val="005806E7"/>
    <w:rsid w:val="005808D4"/>
    <w:rsid w:val="0058159D"/>
    <w:rsid w:val="005842E3"/>
    <w:rsid w:val="00584CB4"/>
    <w:rsid w:val="00586D0D"/>
    <w:rsid w:val="00586EBB"/>
    <w:rsid w:val="00590B01"/>
    <w:rsid w:val="00591CE3"/>
    <w:rsid w:val="005937FF"/>
    <w:rsid w:val="005940B8"/>
    <w:rsid w:val="005945DD"/>
    <w:rsid w:val="005948BC"/>
    <w:rsid w:val="005A2643"/>
    <w:rsid w:val="005A3A24"/>
    <w:rsid w:val="005A4CF0"/>
    <w:rsid w:val="005A58EF"/>
    <w:rsid w:val="005A770E"/>
    <w:rsid w:val="005B173C"/>
    <w:rsid w:val="005B2099"/>
    <w:rsid w:val="005B2561"/>
    <w:rsid w:val="005B2B67"/>
    <w:rsid w:val="005B2FBC"/>
    <w:rsid w:val="005B48BB"/>
    <w:rsid w:val="005B4E30"/>
    <w:rsid w:val="005B5E4B"/>
    <w:rsid w:val="005B7B11"/>
    <w:rsid w:val="005B7EF3"/>
    <w:rsid w:val="005C0592"/>
    <w:rsid w:val="005C090C"/>
    <w:rsid w:val="005C0A28"/>
    <w:rsid w:val="005C1493"/>
    <w:rsid w:val="005C1977"/>
    <w:rsid w:val="005C3FB5"/>
    <w:rsid w:val="005C5BF4"/>
    <w:rsid w:val="005C6D33"/>
    <w:rsid w:val="005C78F6"/>
    <w:rsid w:val="005D177E"/>
    <w:rsid w:val="005D2652"/>
    <w:rsid w:val="005D3A1D"/>
    <w:rsid w:val="005D426A"/>
    <w:rsid w:val="005D44BC"/>
    <w:rsid w:val="005D47B5"/>
    <w:rsid w:val="005D47C9"/>
    <w:rsid w:val="005D4B79"/>
    <w:rsid w:val="005D4FE7"/>
    <w:rsid w:val="005D5A24"/>
    <w:rsid w:val="005D5AEC"/>
    <w:rsid w:val="005D6919"/>
    <w:rsid w:val="005D74C4"/>
    <w:rsid w:val="005D7E04"/>
    <w:rsid w:val="005E0328"/>
    <w:rsid w:val="005E060A"/>
    <w:rsid w:val="005E2945"/>
    <w:rsid w:val="005E31DC"/>
    <w:rsid w:val="005E3C38"/>
    <w:rsid w:val="005E3FE3"/>
    <w:rsid w:val="005E4361"/>
    <w:rsid w:val="005E45F3"/>
    <w:rsid w:val="005F0F25"/>
    <w:rsid w:val="005F11E6"/>
    <w:rsid w:val="005F19EF"/>
    <w:rsid w:val="005F3867"/>
    <w:rsid w:val="005F396F"/>
    <w:rsid w:val="005F6911"/>
    <w:rsid w:val="005F6930"/>
    <w:rsid w:val="005F7EC1"/>
    <w:rsid w:val="006003C0"/>
    <w:rsid w:val="00600EB0"/>
    <w:rsid w:val="00601D6D"/>
    <w:rsid w:val="00605385"/>
    <w:rsid w:val="00610365"/>
    <w:rsid w:val="006130DD"/>
    <w:rsid w:val="00613EF7"/>
    <w:rsid w:val="00613FF5"/>
    <w:rsid w:val="00614B04"/>
    <w:rsid w:val="00615A83"/>
    <w:rsid w:val="00616F1E"/>
    <w:rsid w:val="00617290"/>
    <w:rsid w:val="0062272D"/>
    <w:rsid w:val="00625F0E"/>
    <w:rsid w:val="00626231"/>
    <w:rsid w:val="00626B6C"/>
    <w:rsid w:val="006278F3"/>
    <w:rsid w:val="00627E1F"/>
    <w:rsid w:val="006320CA"/>
    <w:rsid w:val="00633263"/>
    <w:rsid w:val="00633718"/>
    <w:rsid w:val="00634DD3"/>
    <w:rsid w:val="006356A7"/>
    <w:rsid w:val="00635DE6"/>
    <w:rsid w:val="00636137"/>
    <w:rsid w:val="0063751C"/>
    <w:rsid w:val="0064083A"/>
    <w:rsid w:val="00642F7B"/>
    <w:rsid w:val="00643A64"/>
    <w:rsid w:val="006453A7"/>
    <w:rsid w:val="00646493"/>
    <w:rsid w:val="00647C40"/>
    <w:rsid w:val="00650651"/>
    <w:rsid w:val="0065093C"/>
    <w:rsid w:val="006529AD"/>
    <w:rsid w:val="00652BF6"/>
    <w:rsid w:val="00652C6D"/>
    <w:rsid w:val="006531F8"/>
    <w:rsid w:val="00653262"/>
    <w:rsid w:val="00653648"/>
    <w:rsid w:val="00653E40"/>
    <w:rsid w:val="0065488F"/>
    <w:rsid w:val="00654C15"/>
    <w:rsid w:val="0065559B"/>
    <w:rsid w:val="00656234"/>
    <w:rsid w:val="006608D1"/>
    <w:rsid w:val="00660CB4"/>
    <w:rsid w:val="00661238"/>
    <w:rsid w:val="00663C58"/>
    <w:rsid w:val="00666E73"/>
    <w:rsid w:val="00666EA0"/>
    <w:rsid w:val="006704BD"/>
    <w:rsid w:val="00670A83"/>
    <w:rsid w:val="00670FC1"/>
    <w:rsid w:val="00671B83"/>
    <w:rsid w:val="0067370F"/>
    <w:rsid w:val="00674226"/>
    <w:rsid w:val="00676635"/>
    <w:rsid w:val="00676988"/>
    <w:rsid w:val="00677B5D"/>
    <w:rsid w:val="00680D55"/>
    <w:rsid w:val="00681E93"/>
    <w:rsid w:val="006838C2"/>
    <w:rsid w:val="00683B9E"/>
    <w:rsid w:val="006845B4"/>
    <w:rsid w:val="00684EC1"/>
    <w:rsid w:val="00685F6B"/>
    <w:rsid w:val="00686E22"/>
    <w:rsid w:val="006908D8"/>
    <w:rsid w:val="006908F4"/>
    <w:rsid w:val="00692231"/>
    <w:rsid w:val="0069265D"/>
    <w:rsid w:val="00693106"/>
    <w:rsid w:val="006938C4"/>
    <w:rsid w:val="00696755"/>
    <w:rsid w:val="00697775"/>
    <w:rsid w:val="006A17C1"/>
    <w:rsid w:val="006A1FD5"/>
    <w:rsid w:val="006A326C"/>
    <w:rsid w:val="006A4D18"/>
    <w:rsid w:val="006A51D0"/>
    <w:rsid w:val="006A613F"/>
    <w:rsid w:val="006A6A7C"/>
    <w:rsid w:val="006A7367"/>
    <w:rsid w:val="006A7BAC"/>
    <w:rsid w:val="006B1DD3"/>
    <w:rsid w:val="006B2993"/>
    <w:rsid w:val="006B5202"/>
    <w:rsid w:val="006B7969"/>
    <w:rsid w:val="006C011F"/>
    <w:rsid w:val="006C0736"/>
    <w:rsid w:val="006C0EE7"/>
    <w:rsid w:val="006C150C"/>
    <w:rsid w:val="006C23E6"/>
    <w:rsid w:val="006C792A"/>
    <w:rsid w:val="006C7E3E"/>
    <w:rsid w:val="006C7FB7"/>
    <w:rsid w:val="006D00D9"/>
    <w:rsid w:val="006D0102"/>
    <w:rsid w:val="006D044C"/>
    <w:rsid w:val="006D065C"/>
    <w:rsid w:val="006D0DB4"/>
    <w:rsid w:val="006D0E5C"/>
    <w:rsid w:val="006D1302"/>
    <w:rsid w:val="006D18A2"/>
    <w:rsid w:val="006D2C80"/>
    <w:rsid w:val="006D4C58"/>
    <w:rsid w:val="006D5A0B"/>
    <w:rsid w:val="006D5BBD"/>
    <w:rsid w:val="006D5C49"/>
    <w:rsid w:val="006D7C59"/>
    <w:rsid w:val="006E052F"/>
    <w:rsid w:val="006E0DBC"/>
    <w:rsid w:val="006E148F"/>
    <w:rsid w:val="006E1D8F"/>
    <w:rsid w:val="006E22F2"/>
    <w:rsid w:val="006E33A3"/>
    <w:rsid w:val="006E417F"/>
    <w:rsid w:val="006E755E"/>
    <w:rsid w:val="006E7973"/>
    <w:rsid w:val="006F023F"/>
    <w:rsid w:val="006F0B96"/>
    <w:rsid w:val="006F1EA2"/>
    <w:rsid w:val="006F286A"/>
    <w:rsid w:val="006F36C3"/>
    <w:rsid w:val="006F3BDA"/>
    <w:rsid w:val="006F5270"/>
    <w:rsid w:val="006F704C"/>
    <w:rsid w:val="006F71E7"/>
    <w:rsid w:val="00700355"/>
    <w:rsid w:val="00701A08"/>
    <w:rsid w:val="00702D4E"/>
    <w:rsid w:val="007036B3"/>
    <w:rsid w:val="00704531"/>
    <w:rsid w:val="00704678"/>
    <w:rsid w:val="007049B4"/>
    <w:rsid w:val="00704C9C"/>
    <w:rsid w:val="00706B47"/>
    <w:rsid w:val="00706BA4"/>
    <w:rsid w:val="00706D74"/>
    <w:rsid w:val="00710014"/>
    <w:rsid w:val="007100ED"/>
    <w:rsid w:val="00710AE2"/>
    <w:rsid w:val="00711DC7"/>
    <w:rsid w:val="00713CAE"/>
    <w:rsid w:val="00714098"/>
    <w:rsid w:val="00715244"/>
    <w:rsid w:val="0071528F"/>
    <w:rsid w:val="00715BBB"/>
    <w:rsid w:val="00716581"/>
    <w:rsid w:val="00721143"/>
    <w:rsid w:val="0072135E"/>
    <w:rsid w:val="0072175E"/>
    <w:rsid w:val="00721A2B"/>
    <w:rsid w:val="00722117"/>
    <w:rsid w:val="0072239D"/>
    <w:rsid w:val="007230D0"/>
    <w:rsid w:val="00724764"/>
    <w:rsid w:val="0072522F"/>
    <w:rsid w:val="00725829"/>
    <w:rsid w:val="00725AA7"/>
    <w:rsid w:val="00725ACF"/>
    <w:rsid w:val="007268BD"/>
    <w:rsid w:val="00730513"/>
    <w:rsid w:val="0073134C"/>
    <w:rsid w:val="0073249D"/>
    <w:rsid w:val="00733D86"/>
    <w:rsid w:val="007354AA"/>
    <w:rsid w:val="0073610C"/>
    <w:rsid w:val="007369E5"/>
    <w:rsid w:val="00736D2B"/>
    <w:rsid w:val="007408AA"/>
    <w:rsid w:val="00741F1D"/>
    <w:rsid w:val="007450D3"/>
    <w:rsid w:val="00745C4A"/>
    <w:rsid w:val="00747E5E"/>
    <w:rsid w:val="0075134F"/>
    <w:rsid w:val="00751CD0"/>
    <w:rsid w:val="007527EA"/>
    <w:rsid w:val="0075299F"/>
    <w:rsid w:val="00753858"/>
    <w:rsid w:val="00753D24"/>
    <w:rsid w:val="0075509A"/>
    <w:rsid w:val="007556E4"/>
    <w:rsid w:val="00755B33"/>
    <w:rsid w:val="00760267"/>
    <w:rsid w:val="00761311"/>
    <w:rsid w:val="00763657"/>
    <w:rsid w:val="0076452F"/>
    <w:rsid w:val="0076623A"/>
    <w:rsid w:val="007674A8"/>
    <w:rsid w:val="0077070D"/>
    <w:rsid w:val="007718FD"/>
    <w:rsid w:val="00771D7A"/>
    <w:rsid w:val="00772172"/>
    <w:rsid w:val="00774293"/>
    <w:rsid w:val="00774539"/>
    <w:rsid w:val="007753E7"/>
    <w:rsid w:val="0077551A"/>
    <w:rsid w:val="00775CEA"/>
    <w:rsid w:val="007776F2"/>
    <w:rsid w:val="00777976"/>
    <w:rsid w:val="00780B5A"/>
    <w:rsid w:val="00783639"/>
    <w:rsid w:val="00783E15"/>
    <w:rsid w:val="007869D0"/>
    <w:rsid w:val="00790575"/>
    <w:rsid w:val="00790665"/>
    <w:rsid w:val="007910DB"/>
    <w:rsid w:val="00791279"/>
    <w:rsid w:val="0079235B"/>
    <w:rsid w:val="00794095"/>
    <w:rsid w:val="00794606"/>
    <w:rsid w:val="007946AD"/>
    <w:rsid w:val="00795671"/>
    <w:rsid w:val="007962D3"/>
    <w:rsid w:val="00796522"/>
    <w:rsid w:val="007A0297"/>
    <w:rsid w:val="007A03BC"/>
    <w:rsid w:val="007A1C28"/>
    <w:rsid w:val="007A22D1"/>
    <w:rsid w:val="007A5B8C"/>
    <w:rsid w:val="007A68E9"/>
    <w:rsid w:val="007A75C0"/>
    <w:rsid w:val="007B2E50"/>
    <w:rsid w:val="007B3286"/>
    <w:rsid w:val="007B3DBC"/>
    <w:rsid w:val="007B6E86"/>
    <w:rsid w:val="007B7E46"/>
    <w:rsid w:val="007C2E1F"/>
    <w:rsid w:val="007C533C"/>
    <w:rsid w:val="007C5641"/>
    <w:rsid w:val="007C5A18"/>
    <w:rsid w:val="007C624A"/>
    <w:rsid w:val="007C7C9D"/>
    <w:rsid w:val="007C7DAA"/>
    <w:rsid w:val="007D0603"/>
    <w:rsid w:val="007D183F"/>
    <w:rsid w:val="007D1B20"/>
    <w:rsid w:val="007D339B"/>
    <w:rsid w:val="007D3F74"/>
    <w:rsid w:val="007D4D6E"/>
    <w:rsid w:val="007D51B2"/>
    <w:rsid w:val="007D5BFC"/>
    <w:rsid w:val="007D6188"/>
    <w:rsid w:val="007D6505"/>
    <w:rsid w:val="007D6998"/>
    <w:rsid w:val="007D6B6E"/>
    <w:rsid w:val="007E008D"/>
    <w:rsid w:val="007E0808"/>
    <w:rsid w:val="007E0A0E"/>
    <w:rsid w:val="007E13E0"/>
    <w:rsid w:val="007E2C81"/>
    <w:rsid w:val="007E48CD"/>
    <w:rsid w:val="007E4A96"/>
    <w:rsid w:val="007E62C1"/>
    <w:rsid w:val="007E6E78"/>
    <w:rsid w:val="007E777E"/>
    <w:rsid w:val="007E7DA1"/>
    <w:rsid w:val="007F1229"/>
    <w:rsid w:val="007F2C29"/>
    <w:rsid w:val="007F34B4"/>
    <w:rsid w:val="007F422B"/>
    <w:rsid w:val="007F48C5"/>
    <w:rsid w:val="007F4DE1"/>
    <w:rsid w:val="007F5216"/>
    <w:rsid w:val="007F5A76"/>
    <w:rsid w:val="0080049F"/>
    <w:rsid w:val="00800549"/>
    <w:rsid w:val="00800699"/>
    <w:rsid w:val="008016A6"/>
    <w:rsid w:val="00801A26"/>
    <w:rsid w:val="00802543"/>
    <w:rsid w:val="00803C8F"/>
    <w:rsid w:val="00805815"/>
    <w:rsid w:val="00805DEA"/>
    <w:rsid w:val="00806C05"/>
    <w:rsid w:val="00810247"/>
    <w:rsid w:val="00811521"/>
    <w:rsid w:val="0081249F"/>
    <w:rsid w:val="00813764"/>
    <w:rsid w:val="008146A5"/>
    <w:rsid w:val="00815CD5"/>
    <w:rsid w:val="00817DF5"/>
    <w:rsid w:val="0082460C"/>
    <w:rsid w:val="00826B42"/>
    <w:rsid w:val="008277BF"/>
    <w:rsid w:val="008301A2"/>
    <w:rsid w:val="0083060A"/>
    <w:rsid w:val="00832B58"/>
    <w:rsid w:val="0083371E"/>
    <w:rsid w:val="00841D01"/>
    <w:rsid w:val="00842600"/>
    <w:rsid w:val="00843882"/>
    <w:rsid w:val="00843CE2"/>
    <w:rsid w:val="00847391"/>
    <w:rsid w:val="00847F99"/>
    <w:rsid w:val="008508D0"/>
    <w:rsid w:val="00850A4D"/>
    <w:rsid w:val="00851414"/>
    <w:rsid w:val="00852B2E"/>
    <w:rsid w:val="00854136"/>
    <w:rsid w:val="00854A74"/>
    <w:rsid w:val="00855137"/>
    <w:rsid w:val="008557A1"/>
    <w:rsid w:val="0085679C"/>
    <w:rsid w:val="0085683E"/>
    <w:rsid w:val="0085774F"/>
    <w:rsid w:val="00857DC9"/>
    <w:rsid w:val="0086168B"/>
    <w:rsid w:val="00861C4C"/>
    <w:rsid w:val="00862026"/>
    <w:rsid w:val="008630AD"/>
    <w:rsid w:val="00863E83"/>
    <w:rsid w:val="00863FC9"/>
    <w:rsid w:val="00864537"/>
    <w:rsid w:val="00864821"/>
    <w:rsid w:val="008656F2"/>
    <w:rsid w:val="00867B91"/>
    <w:rsid w:val="00870920"/>
    <w:rsid w:val="008710E9"/>
    <w:rsid w:val="00871CF3"/>
    <w:rsid w:val="00873201"/>
    <w:rsid w:val="008735DE"/>
    <w:rsid w:val="00874060"/>
    <w:rsid w:val="00874228"/>
    <w:rsid w:val="0087550F"/>
    <w:rsid w:val="00880CD5"/>
    <w:rsid w:val="00881340"/>
    <w:rsid w:val="00882657"/>
    <w:rsid w:val="00882F36"/>
    <w:rsid w:val="0088394E"/>
    <w:rsid w:val="00887926"/>
    <w:rsid w:val="00890599"/>
    <w:rsid w:val="00890646"/>
    <w:rsid w:val="00890F38"/>
    <w:rsid w:val="008916BE"/>
    <w:rsid w:val="00892690"/>
    <w:rsid w:val="00893C1C"/>
    <w:rsid w:val="00893CB6"/>
    <w:rsid w:val="00894550"/>
    <w:rsid w:val="00894E5B"/>
    <w:rsid w:val="00895728"/>
    <w:rsid w:val="0089590B"/>
    <w:rsid w:val="008A03FA"/>
    <w:rsid w:val="008A05E7"/>
    <w:rsid w:val="008A0E71"/>
    <w:rsid w:val="008A100D"/>
    <w:rsid w:val="008A1329"/>
    <w:rsid w:val="008A1A42"/>
    <w:rsid w:val="008A1DB8"/>
    <w:rsid w:val="008A22B5"/>
    <w:rsid w:val="008A362A"/>
    <w:rsid w:val="008A5950"/>
    <w:rsid w:val="008A5952"/>
    <w:rsid w:val="008B16D3"/>
    <w:rsid w:val="008B34D5"/>
    <w:rsid w:val="008B4621"/>
    <w:rsid w:val="008B48C5"/>
    <w:rsid w:val="008B4C5F"/>
    <w:rsid w:val="008B56E5"/>
    <w:rsid w:val="008B5727"/>
    <w:rsid w:val="008B5D37"/>
    <w:rsid w:val="008B612E"/>
    <w:rsid w:val="008B6588"/>
    <w:rsid w:val="008B7150"/>
    <w:rsid w:val="008C37D8"/>
    <w:rsid w:val="008C3F75"/>
    <w:rsid w:val="008C4793"/>
    <w:rsid w:val="008D01A7"/>
    <w:rsid w:val="008D0EAB"/>
    <w:rsid w:val="008D0FD4"/>
    <w:rsid w:val="008D1726"/>
    <w:rsid w:val="008D18BA"/>
    <w:rsid w:val="008D2DD1"/>
    <w:rsid w:val="008D4BE5"/>
    <w:rsid w:val="008D56B3"/>
    <w:rsid w:val="008D691A"/>
    <w:rsid w:val="008E00EC"/>
    <w:rsid w:val="008E3044"/>
    <w:rsid w:val="008E37FC"/>
    <w:rsid w:val="008E4AFB"/>
    <w:rsid w:val="008E5D5C"/>
    <w:rsid w:val="008E5DC0"/>
    <w:rsid w:val="008E7493"/>
    <w:rsid w:val="008E77B5"/>
    <w:rsid w:val="008F0173"/>
    <w:rsid w:val="008F02E1"/>
    <w:rsid w:val="008F05FE"/>
    <w:rsid w:val="008F17FA"/>
    <w:rsid w:val="008F1BC3"/>
    <w:rsid w:val="008F2A53"/>
    <w:rsid w:val="008F538C"/>
    <w:rsid w:val="008F7634"/>
    <w:rsid w:val="00900DB1"/>
    <w:rsid w:val="00901D57"/>
    <w:rsid w:val="009029CD"/>
    <w:rsid w:val="00902AB8"/>
    <w:rsid w:val="00904DCD"/>
    <w:rsid w:val="00907465"/>
    <w:rsid w:val="0091017A"/>
    <w:rsid w:val="009117AB"/>
    <w:rsid w:val="00912BD0"/>
    <w:rsid w:val="009146D9"/>
    <w:rsid w:val="009161BB"/>
    <w:rsid w:val="0091718F"/>
    <w:rsid w:val="009171C1"/>
    <w:rsid w:val="0091728A"/>
    <w:rsid w:val="00920AF6"/>
    <w:rsid w:val="00920D81"/>
    <w:rsid w:val="00920EBA"/>
    <w:rsid w:val="00921BAE"/>
    <w:rsid w:val="00924B57"/>
    <w:rsid w:val="00924D8F"/>
    <w:rsid w:val="009264BF"/>
    <w:rsid w:val="0092692C"/>
    <w:rsid w:val="0092769B"/>
    <w:rsid w:val="009305B3"/>
    <w:rsid w:val="009308F1"/>
    <w:rsid w:val="00930E52"/>
    <w:rsid w:val="009314BA"/>
    <w:rsid w:val="00932C7E"/>
    <w:rsid w:val="00933563"/>
    <w:rsid w:val="0093497F"/>
    <w:rsid w:val="009353A5"/>
    <w:rsid w:val="009356DE"/>
    <w:rsid w:val="0093651B"/>
    <w:rsid w:val="00936CC8"/>
    <w:rsid w:val="00936D86"/>
    <w:rsid w:val="00941321"/>
    <w:rsid w:val="00941C68"/>
    <w:rsid w:val="00944EEA"/>
    <w:rsid w:val="00945B3B"/>
    <w:rsid w:val="009466AD"/>
    <w:rsid w:val="00946943"/>
    <w:rsid w:val="00946968"/>
    <w:rsid w:val="0095027A"/>
    <w:rsid w:val="00952D4B"/>
    <w:rsid w:val="00953070"/>
    <w:rsid w:val="00956402"/>
    <w:rsid w:val="00956BBD"/>
    <w:rsid w:val="0095754C"/>
    <w:rsid w:val="0095762A"/>
    <w:rsid w:val="0096060B"/>
    <w:rsid w:val="00961D73"/>
    <w:rsid w:val="00961DA8"/>
    <w:rsid w:val="009630EE"/>
    <w:rsid w:val="00963240"/>
    <w:rsid w:val="009634E2"/>
    <w:rsid w:val="009639C4"/>
    <w:rsid w:val="00963F85"/>
    <w:rsid w:val="0096590A"/>
    <w:rsid w:val="00965A04"/>
    <w:rsid w:val="009663F7"/>
    <w:rsid w:val="00966AFC"/>
    <w:rsid w:val="00967EF5"/>
    <w:rsid w:val="00967F30"/>
    <w:rsid w:val="009705BC"/>
    <w:rsid w:val="0097209B"/>
    <w:rsid w:val="00972B19"/>
    <w:rsid w:val="00973363"/>
    <w:rsid w:val="00973518"/>
    <w:rsid w:val="009735C7"/>
    <w:rsid w:val="0097419E"/>
    <w:rsid w:val="009745A6"/>
    <w:rsid w:val="00974F1C"/>
    <w:rsid w:val="00976555"/>
    <w:rsid w:val="009800B9"/>
    <w:rsid w:val="009815D8"/>
    <w:rsid w:val="00981601"/>
    <w:rsid w:val="0098224C"/>
    <w:rsid w:val="00983373"/>
    <w:rsid w:val="00984D1A"/>
    <w:rsid w:val="00984FD9"/>
    <w:rsid w:val="00985CAC"/>
    <w:rsid w:val="00987671"/>
    <w:rsid w:val="00990365"/>
    <w:rsid w:val="00991580"/>
    <w:rsid w:val="009934BC"/>
    <w:rsid w:val="00995B6F"/>
    <w:rsid w:val="00995E43"/>
    <w:rsid w:val="00997759"/>
    <w:rsid w:val="009977FF"/>
    <w:rsid w:val="009A1209"/>
    <w:rsid w:val="009A13D4"/>
    <w:rsid w:val="009A208A"/>
    <w:rsid w:val="009A28DC"/>
    <w:rsid w:val="009A3DA3"/>
    <w:rsid w:val="009A5EEC"/>
    <w:rsid w:val="009A6D1C"/>
    <w:rsid w:val="009A6E3B"/>
    <w:rsid w:val="009A70E4"/>
    <w:rsid w:val="009B0A7A"/>
    <w:rsid w:val="009B4F48"/>
    <w:rsid w:val="009B50E4"/>
    <w:rsid w:val="009B5991"/>
    <w:rsid w:val="009B61A1"/>
    <w:rsid w:val="009B6D95"/>
    <w:rsid w:val="009B7F91"/>
    <w:rsid w:val="009C043E"/>
    <w:rsid w:val="009C1566"/>
    <w:rsid w:val="009C232B"/>
    <w:rsid w:val="009C466B"/>
    <w:rsid w:val="009C4807"/>
    <w:rsid w:val="009C55CE"/>
    <w:rsid w:val="009C5629"/>
    <w:rsid w:val="009C62EF"/>
    <w:rsid w:val="009C692E"/>
    <w:rsid w:val="009C750C"/>
    <w:rsid w:val="009D04B2"/>
    <w:rsid w:val="009D1991"/>
    <w:rsid w:val="009D4F48"/>
    <w:rsid w:val="009D595B"/>
    <w:rsid w:val="009D6A80"/>
    <w:rsid w:val="009E0426"/>
    <w:rsid w:val="009E04BF"/>
    <w:rsid w:val="009E2B32"/>
    <w:rsid w:val="009E345A"/>
    <w:rsid w:val="009E3686"/>
    <w:rsid w:val="009E36FE"/>
    <w:rsid w:val="009E3AD1"/>
    <w:rsid w:val="009E550F"/>
    <w:rsid w:val="009E7253"/>
    <w:rsid w:val="009F0C69"/>
    <w:rsid w:val="009F42F3"/>
    <w:rsid w:val="009F7DE4"/>
    <w:rsid w:val="00A0079C"/>
    <w:rsid w:val="00A007A0"/>
    <w:rsid w:val="00A0083B"/>
    <w:rsid w:val="00A01A7F"/>
    <w:rsid w:val="00A024E1"/>
    <w:rsid w:val="00A039CA"/>
    <w:rsid w:val="00A05B09"/>
    <w:rsid w:val="00A05D63"/>
    <w:rsid w:val="00A077D9"/>
    <w:rsid w:val="00A07E0B"/>
    <w:rsid w:val="00A11795"/>
    <w:rsid w:val="00A1244D"/>
    <w:rsid w:val="00A12943"/>
    <w:rsid w:val="00A12B7C"/>
    <w:rsid w:val="00A13C1E"/>
    <w:rsid w:val="00A13F6E"/>
    <w:rsid w:val="00A15107"/>
    <w:rsid w:val="00A15703"/>
    <w:rsid w:val="00A21733"/>
    <w:rsid w:val="00A2213A"/>
    <w:rsid w:val="00A22646"/>
    <w:rsid w:val="00A235E5"/>
    <w:rsid w:val="00A25398"/>
    <w:rsid w:val="00A26186"/>
    <w:rsid w:val="00A26493"/>
    <w:rsid w:val="00A26CA4"/>
    <w:rsid w:val="00A271B7"/>
    <w:rsid w:val="00A3066C"/>
    <w:rsid w:val="00A3083C"/>
    <w:rsid w:val="00A31899"/>
    <w:rsid w:val="00A32E45"/>
    <w:rsid w:val="00A35AE7"/>
    <w:rsid w:val="00A37690"/>
    <w:rsid w:val="00A37CDA"/>
    <w:rsid w:val="00A4021F"/>
    <w:rsid w:val="00A405F1"/>
    <w:rsid w:val="00A41E87"/>
    <w:rsid w:val="00A42CF4"/>
    <w:rsid w:val="00A42EC1"/>
    <w:rsid w:val="00A4325C"/>
    <w:rsid w:val="00A44442"/>
    <w:rsid w:val="00A457C6"/>
    <w:rsid w:val="00A45AB8"/>
    <w:rsid w:val="00A47051"/>
    <w:rsid w:val="00A47D39"/>
    <w:rsid w:val="00A50355"/>
    <w:rsid w:val="00A51306"/>
    <w:rsid w:val="00A52408"/>
    <w:rsid w:val="00A534A4"/>
    <w:rsid w:val="00A54045"/>
    <w:rsid w:val="00A54186"/>
    <w:rsid w:val="00A5644F"/>
    <w:rsid w:val="00A56668"/>
    <w:rsid w:val="00A5669F"/>
    <w:rsid w:val="00A577E2"/>
    <w:rsid w:val="00A6057B"/>
    <w:rsid w:val="00A6096C"/>
    <w:rsid w:val="00A63BBE"/>
    <w:rsid w:val="00A65302"/>
    <w:rsid w:val="00A65C7C"/>
    <w:rsid w:val="00A660AC"/>
    <w:rsid w:val="00A67AC1"/>
    <w:rsid w:val="00A67E8D"/>
    <w:rsid w:val="00A7123C"/>
    <w:rsid w:val="00A72D31"/>
    <w:rsid w:val="00A7303C"/>
    <w:rsid w:val="00A73A90"/>
    <w:rsid w:val="00A74E92"/>
    <w:rsid w:val="00A75C3B"/>
    <w:rsid w:val="00A76C1B"/>
    <w:rsid w:val="00A777BE"/>
    <w:rsid w:val="00A80F41"/>
    <w:rsid w:val="00A8250C"/>
    <w:rsid w:val="00A8290D"/>
    <w:rsid w:val="00A829B1"/>
    <w:rsid w:val="00A840AD"/>
    <w:rsid w:val="00A84467"/>
    <w:rsid w:val="00A85AD7"/>
    <w:rsid w:val="00A85F43"/>
    <w:rsid w:val="00A86B5C"/>
    <w:rsid w:val="00A87864"/>
    <w:rsid w:val="00A87B91"/>
    <w:rsid w:val="00A90506"/>
    <w:rsid w:val="00A90556"/>
    <w:rsid w:val="00A92812"/>
    <w:rsid w:val="00A97FA2"/>
    <w:rsid w:val="00AA0A03"/>
    <w:rsid w:val="00AA1D9F"/>
    <w:rsid w:val="00AA1EFD"/>
    <w:rsid w:val="00AA2401"/>
    <w:rsid w:val="00AA2EF0"/>
    <w:rsid w:val="00AA3291"/>
    <w:rsid w:val="00AA4AC9"/>
    <w:rsid w:val="00AA6897"/>
    <w:rsid w:val="00AA70DB"/>
    <w:rsid w:val="00AA7B8C"/>
    <w:rsid w:val="00AA7C73"/>
    <w:rsid w:val="00AB104A"/>
    <w:rsid w:val="00AB12F9"/>
    <w:rsid w:val="00AB19B9"/>
    <w:rsid w:val="00AB1C56"/>
    <w:rsid w:val="00AB2976"/>
    <w:rsid w:val="00AB5511"/>
    <w:rsid w:val="00AB642E"/>
    <w:rsid w:val="00AB64F6"/>
    <w:rsid w:val="00AB6BB1"/>
    <w:rsid w:val="00AB784E"/>
    <w:rsid w:val="00AC1ECD"/>
    <w:rsid w:val="00AC21F7"/>
    <w:rsid w:val="00AC4164"/>
    <w:rsid w:val="00AC5B9C"/>
    <w:rsid w:val="00AC648A"/>
    <w:rsid w:val="00AC6DDB"/>
    <w:rsid w:val="00AC72CA"/>
    <w:rsid w:val="00AC72DA"/>
    <w:rsid w:val="00AD1AC4"/>
    <w:rsid w:val="00AD1DF4"/>
    <w:rsid w:val="00AD2795"/>
    <w:rsid w:val="00AD493F"/>
    <w:rsid w:val="00AD4AAA"/>
    <w:rsid w:val="00AD5AAD"/>
    <w:rsid w:val="00AD6B5C"/>
    <w:rsid w:val="00AD6C49"/>
    <w:rsid w:val="00AD74B2"/>
    <w:rsid w:val="00AE0D75"/>
    <w:rsid w:val="00AE0F36"/>
    <w:rsid w:val="00AE3568"/>
    <w:rsid w:val="00AE369E"/>
    <w:rsid w:val="00AE3819"/>
    <w:rsid w:val="00AE38C4"/>
    <w:rsid w:val="00AE794B"/>
    <w:rsid w:val="00AE7FF2"/>
    <w:rsid w:val="00AF09CE"/>
    <w:rsid w:val="00AF26EE"/>
    <w:rsid w:val="00AF2745"/>
    <w:rsid w:val="00AF37CD"/>
    <w:rsid w:val="00AF383B"/>
    <w:rsid w:val="00AF39A6"/>
    <w:rsid w:val="00AF3F4A"/>
    <w:rsid w:val="00AF46A7"/>
    <w:rsid w:val="00AF5C96"/>
    <w:rsid w:val="00AF690E"/>
    <w:rsid w:val="00AF73C1"/>
    <w:rsid w:val="00AF77B6"/>
    <w:rsid w:val="00B02218"/>
    <w:rsid w:val="00B0367B"/>
    <w:rsid w:val="00B03C75"/>
    <w:rsid w:val="00B0547F"/>
    <w:rsid w:val="00B106B7"/>
    <w:rsid w:val="00B13392"/>
    <w:rsid w:val="00B1345B"/>
    <w:rsid w:val="00B1403F"/>
    <w:rsid w:val="00B145BA"/>
    <w:rsid w:val="00B1587C"/>
    <w:rsid w:val="00B15FB1"/>
    <w:rsid w:val="00B1628F"/>
    <w:rsid w:val="00B169F3"/>
    <w:rsid w:val="00B200FC"/>
    <w:rsid w:val="00B209C8"/>
    <w:rsid w:val="00B23A47"/>
    <w:rsid w:val="00B2552D"/>
    <w:rsid w:val="00B25737"/>
    <w:rsid w:val="00B261F8"/>
    <w:rsid w:val="00B26D30"/>
    <w:rsid w:val="00B26D66"/>
    <w:rsid w:val="00B27BFF"/>
    <w:rsid w:val="00B27CB1"/>
    <w:rsid w:val="00B30665"/>
    <w:rsid w:val="00B30DE0"/>
    <w:rsid w:val="00B322A2"/>
    <w:rsid w:val="00B33D1A"/>
    <w:rsid w:val="00B35A97"/>
    <w:rsid w:val="00B36FE0"/>
    <w:rsid w:val="00B3757F"/>
    <w:rsid w:val="00B376C0"/>
    <w:rsid w:val="00B376E0"/>
    <w:rsid w:val="00B37CC6"/>
    <w:rsid w:val="00B43E9A"/>
    <w:rsid w:val="00B44BE3"/>
    <w:rsid w:val="00B458AD"/>
    <w:rsid w:val="00B459A8"/>
    <w:rsid w:val="00B45D89"/>
    <w:rsid w:val="00B467EC"/>
    <w:rsid w:val="00B46E64"/>
    <w:rsid w:val="00B47B1D"/>
    <w:rsid w:val="00B47D69"/>
    <w:rsid w:val="00B5056B"/>
    <w:rsid w:val="00B51152"/>
    <w:rsid w:val="00B51C22"/>
    <w:rsid w:val="00B53114"/>
    <w:rsid w:val="00B54A86"/>
    <w:rsid w:val="00B5502C"/>
    <w:rsid w:val="00B56DE0"/>
    <w:rsid w:val="00B57647"/>
    <w:rsid w:val="00B578EB"/>
    <w:rsid w:val="00B60D45"/>
    <w:rsid w:val="00B60E2A"/>
    <w:rsid w:val="00B61EFD"/>
    <w:rsid w:val="00B63562"/>
    <w:rsid w:val="00B637F7"/>
    <w:rsid w:val="00B63830"/>
    <w:rsid w:val="00B7013C"/>
    <w:rsid w:val="00B71E5C"/>
    <w:rsid w:val="00B73A0A"/>
    <w:rsid w:val="00B73CC5"/>
    <w:rsid w:val="00B75487"/>
    <w:rsid w:val="00B75894"/>
    <w:rsid w:val="00B77008"/>
    <w:rsid w:val="00B772D8"/>
    <w:rsid w:val="00B775EC"/>
    <w:rsid w:val="00B8020F"/>
    <w:rsid w:val="00B8065A"/>
    <w:rsid w:val="00B81139"/>
    <w:rsid w:val="00B81CB2"/>
    <w:rsid w:val="00B826FA"/>
    <w:rsid w:val="00B842A0"/>
    <w:rsid w:val="00B87032"/>
    <w:rsid w:val="00B87560"/>
    <w:rsid w:val="00B87DB1"/>
    <w:rsid w:val="00B9221A"/>
    <w:rsid w:val="00BA34DE"/>
    <w:rsid w:val="00BA39B8"/>
    <w:rsid w:val="00BA4B1C"/>
    <w:rsid w:val="00BA4C70"/>
    <w:rsid w:val="00BA60A4"/>
    <w:rsid w:val="00BA6485"/>
    <w:rsid w:val="00BA7C8C"/>
    <w:rsid w:val="00BB0801"/>
    <w:rsid w:val="00BB0B62"/>
    <w:rsid w:val="00BB0DCC"/>
    <w:rsid w:val="00BB7D25"/>
    <w:rsid w:val="00BC05A1"/>
    <w:rsid w:val="00BC2595"/>
    <w:rsid w:val="00BC2BB4"/>
    <w:rsid w:val="00BC2E3B"/>
    <w:rsid w:val="00BC33DD"/>
    <w:rsid w:val="00BC35FE"/>
    <w:rsid w:val="00BC3AA6"/>
    <w:rsid w:val="00BC46CF"/>
    <w:rsid w:val="00BC4715"/>
    <w:rsid w:val="00BC5EE4"/>
    <w:rsid w:val="00BC5FD6"/>
    <w:rsid w:val="00BC614F"/>
    <w:rsid w:val="00BC6BFE"/>
    <w:rsid w:val="00BC76BF"/>
    <w:rsid w:val="00BC781D"/>
    <w:rsid w:val="00BD01FA"/>
    <w:rsid w:val="00BD0243"/>
    <w:rsid w:val="00BD138C"/>
    <w:rsid w:val="00BD17D6"/>
    <w:rsid w:val="00BD1DC8"/>
    <w:rsid w:val="00BD2133"/>
    <w:rsid w:val="00BD2332"/>
    <w:rsid w:val="00BD2368"/>
    <w:rsid w:val="00BD2B65"/>
    <w:rsid w:val="00BD3CA5"/>
    <w:rsid w:val="00BD60E8"/>
    <w:rsid w:val="00BD70D3"/>
    <w:rsid w:val="00BE110E"/>
    <w:rsid w:val="00BE1E39"/>
    <w:rsid w:val="00BE3D97"/>
    <w:rsid w:val="00BE5AE0"/>
    <w:rsid w:val="00BE6620"/>
    <w:rsid w:val="00BF06B4"/>
    <w:rsid w:val="00BF1228"/>
    <w:rsid w:val="00BF2436"/>
    <w:rsid w:val="00BF33B2"/>
    <w:rsid w:val="00BF517F"/>
    <w:rsid w:val="00BF5571"/>
    <w:rsid w:val="00BF570E"/>
    <w:rsid w:val="00BF5733"/>
    <w:rsid w:val="00BF5CC8"/>
    <w:rsid w:val="00BF6943"/>
    <w:rsid w:val="00C0075C"/>
    <w:rsid w:val="00C0204B"/>
    <w:rsid w:val="00C02CA0"/>
    <w:rsid w:val="00C04735"/>
    <w:rsid w:val="00C047E5"/>
    <w:rsid w:val="00C0564B"/>
    <w:rsid w:val="00C060CD"/>
    <w:rsid w:val="00C066DC"/>
    <w:rsid w:val="00C06E11"/>
    <w:rsid w:val="00C06E89"/>
    <w:rsid w:val="00C0722C"/>
    <w:rsid w:val="00C07626"/>
    <w:rsid w:val="00C07CD4"/>
    <w:rsid w:val="00C11067"/>
    <w:rsid w:val="00C11248"/>
    <w:rsid w:val="00C13890"/>
    <w:rsid w:val="00C144FF"/>
    <w:rsid w:val="00C15E3E"/>
    <w:rsid w:val="00C15EE9"/>
    <w:rsid w:val="00C16A3C"/>
    <w:rsid w:val="00C214D3"/>
    <w:rsid w:val="00C21EC3"/>
    <w:rsid w:val="00C227B5"/>
    <w:rsid w:val="00C2318E"/>
    <w:rsid w:val="00C23FC3"/>
    <w:rsid w:val="00C24279"/>
    <w:rsid w:val="00C24954"/>
    <w:rsid w:val="00C258C7"/>
    <w:rsid w:val="00C27E10"/>
    <w:rsid w:val="00C32050"/>
    <w:rsid w:val="00C3265D"/>
    <w:rsid w:val="00C3416C"/>
    <w:rsid w:val="00C342BB"/>
    <w:rsid w:val="00C35098"/>
    <w:rsid w:val="00C35D00"/>
    <w:rsid w:val="00C3641F"/>
    <w:rsid w:val="00C366C7"/>
    <w:rsid w:val="00C41ED0"/>
    <w:rsid w:val="00C41F54"/>
    <w:rsid w:val="00C42780"/>
    <w:rsid w:val="00C42918"/>
    <w:rsid w:val="00C43D2B"/>
    <w:rsid w:val="00C45B00"/>
    <w:rsid w:val="00C45DA1"/>
    <w:rsid w:val="00C475A1"/>
    <w:rsid w:val="00C47EAA"/>
    <w:rsid w:val="00C51A1B"/>
    <w:rsid w:val="00C53B97"/>
    <w:rsid w:val="00C56337"/>
    <w:rsid w:val="00C56AB5"/>
    <w:rsid w:val="00C6045B"/>
    <w:rsid w:val="00C6177B"/>
    <w:rsid w:val="00C61FC2"/>
    <w:rsid w:val="00C62446"/>
    <w:rsid w:val="00C627A0"/>
    <w:rsid w:val="00C6373E"/>
    <w:rsid w:val="00C64822"/>
    <w:rsid w:val="00C64D7F"/>
    <w:rsid w:val="00C653AB"/>
    <w:rsid w:val="00C701FB"/>
    <w:rsid w:val="00C70B5A"/>
    <w:rsid w:val="00C70CEF"/>
    <w:rsid w:val="00C71545"/>
    <w:rsid w:val="00C725EC"/>
    <w:rsid w:val="00C72AC5"/>
    <w:rsid w:val="00C74597"/>
    <w:rsid w:val="00C75A80"/>
    <w:rsid w:val="00C77A47"/>
    <w:rsid w:val="00C77C52"/>
    <w:rsid w:val="00C80267"/>
    <w:rsid w:val="00C81326"/>
    <w:rsid w:val="00C83428"/>
    <w:rsid w:val="00C83BE9"/>
    <w:rsid w:val="00C854B3"/>
    <w:rsid w:val="00C8645B"/>
    <w:rsid w:val="00C9197C"/>
    <w:rsid w:val="00C933F5"/>
    <w:rsid w:val="00C97A6D"/>
    <w:rsid w:val="00C97EFF"/>
    <w:rsid w:val="00CA07AD"/>
    <w:rsid w:val="00CA08E9"/>
    <w:rsid w:val="00CA1858"/>
    <w:rsid w:val="00CA38DE"/>
    <w:rsid w:val="00CA47FD"/>
    <w:rsid w:val="00CA4D06"/>
    <w:rsid w:val="00CA5A2F"/>
    <w:rsid w:val="00CA69DE"/>
    <w:rsid w:val="00CA6CB2"/>
    <w:rsid w:val="00CB13D0"/>
    <w:rsid w:val="00CB2372"/>
    <w:rsid w:val="00CB25C2"/>
    <w:rsid w:val="00CB2F0A"/>
    <w:rsid w:val="00CB309F"/>
    <w:rsid w:val="00CB45D3"/>
    <w:rsid w:val="00CB4867"/>
    <w:rsid w:val="00CB4DA1"/>
    <w:rsid w:val="00CB68A8"/>
    <w:rsid w:val="00CC09F1"/>
    <w:rsid w:val="00CC145F"/>
    <w:rsid w:val="00CC326B"/>
    <w:rsid w:val="00CC32FF"/>
    <w:rsid w:val="00CC38DE"/>
    <w:rsid w:val="00CC390D"/>
    <w:rsid w:val="00CC415B"/>
    <w:rsid w:val="00CC5D94"/>
    <w:rsid w:val="00CC6249"/>
    <w:rsid w:val="00CC6F36"/>
    <w:rsid w:val="00CC6FAF"/>
    <w:rsid w:val="00CD0F16"/>
    <w:rsid w:val="00CD25C4"/>
    <w:rsid w:val="00CD310E"/>
    <w:rsid w:val="00CD55D6"/>
    <w:rsid w:val="00CD6324"/>
    <w:rsid w:val="00CD71FE"/>
    <w:rsid w:val="00CE06FC"/>
    <w:rsid w:val="00CE2BCA"/>
    <w:rsid w:val="00CE2DDD"/>
    <w:rsid w:val="00CE6F8B"/>
    <w:rsid w:val="00CE79DB"/>
    <w:rsid w:val="00CF06F0"/>
    <w:rsid w:val="00CF0DF4"/>
    <w:rsid w:val="00CF21B4"/>
    <w:rsid w:val="00CF3E7C"/>
    <w:rsid w:val="00CF4CC8"/>
    <w:rsid w:val="00CF6590"/>
    <w:rsid w:val="00CF6D81"/>
    <w:rsid w:val="00CF6E7E"/>
    <w:rsid w:val="00D013CB"/>
    <w:rsid w:val="00D018AE"/>
    <w:rsid w:val="00D0243E"/>
    <w:rsid w:val="00D026F9"/>
    <w:rsid w:val="00D028DE"/>
    <w:rsid w:val="00D03DFC"/>
    <w:rsid w:val="00D1032B"/>
    <w:rsid w:val="00D12133"/>
    <w:rsid w:val="00D142E7"/>
    <w:rsid w:val="00D1594B"/>
    <w:rsid w:val="00D163E2"/>
    <w:rsid w:val="00D1684F"/>
    <w:rsid w:val="00D20B89"/>
    <w:rsid w:val="00D21DE4"/>
    <w:rsid w:val="00D224BC"/>
    <w:rsid w:val="00D23324"/>
    <w:rsid w:val="00D2428F"/>
    <w:rsid w:val="00D24B5C"/>
    <w:rsid w:val="00D250E4"/>
    <w:rsid w:val="00D257EC"/>
    <w:rsid w:val="00D267AC"/>
    <w:rsid w:val="00D27D2D"/>
    <w:rsid w:val="00D31005"/>
    <w:rsid w:val="00D31326"/>
    <w:rsid w:val="00D31D25"/>
    <w:rsid w:val="00D32182"/>
    <w:rsid w:val="00D32F14"/>
    <w:rsid w:val="00D33DFF"/>
    <w:rsid w:val="00D35397"/>
    <w:rsid w:val="00D3597E"/>
    <w:rsid w:val="00D3749C"/>
    <w:rsid w:val="00D376E3"/>
    <w:rsid w:val="00D42B93"/>
    <w:rsid w:val="00D4361A"/>
    <w:rsid w:val="00D45B11"/>
    <w:rsid w:val="00D514B6"/>
    <w:rsid w:val="00D52307"/>
    <w:rsid w:val="00D5366F"/>
    <w:rsid w:val="00D53B48"/>
    <w:rsid w:val="00D53CEA"/>
    <w:rsid w:val="00D54184"/>
    <w:rsid w:val="00D54AAD"/>
    <w:rsid w:val="00D56587"/>
    <w:rsid w:val="00D624ED"/>
    <w:rsid w:val="00D639AE"/>
    <w:rsid w:val="00D645CD"/>
    <w:rsid w:val="00D65141"/>
    <w:rsid w:val="00D651A5"/>
    <w:rsid w:val="00D66987"/>
    <w:rsid w:val="00D70F70"/>
    <w:rsid w:val="00D7270B"/>
    <w:rsid w:val="00D72871"/>
    <w:rsid w:val="00D750E9"/>
    <w:rsid w:val="00D761D0"/>
    <w:rsid w:val="00D763BA"/>
    <w:rsid w:val="00D7738D"/>
    <w:rsid w:val="00D81E85"/>
    <w:rsid w:val="00D82AB0"/>
    <w:rsid w:val="00D83B44"/>
    <w:rsid w:val="00D84029"/>
    <w:rsid w:val="00D86E1A"/>
    <w:rsid w:val="00D8790B"/>
    <w:rsid w:val="00D91461"/>
    <w:rsid w:val="00D92336"/>
    <w:rsid w:val="00D92BF8"/>
    <w:rsid w:val="00D92F1B"/>
    <w:rsid w:val="00D9407B"/>
    <w:rsid w:val="00D94B88"/>
    <w:rsid w:val="00D94BB1"/>
    <w:rsid w:val="00D94CBB"/>
    <w:rsid w:val="00D95C79"/>
    <w:rsid w:val="00D9737B"/>
    <w:rsid w:val="00DA0472"/>
    <w:rsid w:val="00DA06C1"/>
    <w:rsid w:val="00DA1577"/>
    <w:rsid w:val="00DA1952"/>
    <w:rsid w:val="00DA2E3E"/>
    <w:rsid w:val="00DA32E5"/>
    <w:rsid w:val="00DA4041"/>
    <w:rsid w:val="00DA459C"/>
    <w:rsid w:val="00DA49B6"/>
    <w:rsid w:val="00DA5BB1"/>
    <w:rsid w:val="00DA60E2"/>
    <w:rsid w:val="00DA64FC"/>
    <w:rsid w:val="00DA7307"/>
    <w:rsid w:val="00DA7E94"/>
    <w:rsid w:val="00DB09A9"/>
    <w:rsid w:val="00DB16FF"/>
    <w:rsid w:val="00DB1747"/>
    <w:rsid w:val="00DB1E92"/>
    <w:rsid w:val="00DB2E19"/>
    <w:rsid w:val="00DB3254"/>
    <w:rsid w:val="00DB3258"/>
    <w:rsid w:val="00DB4E89"/>
    <w:rsid w:val="00DB4ECE"/>
    <w:rsid w:val="00DB65BD"/>
    <w:rsid w:val="00DB66DE"/>
    <w:rsid w:val="00DB6912"/>
    <w:rsid w:val="00DC3DF8"/>
    <w:rsid w:val="00DC54F8"/>
    <w:rsid w:val="00DC5CC9"/>
    <w:rsid w:val="00DC709D"/>
    <w:rsid w:val="00DD0392"/>
    <w:rsid w:val="00DD1073"/>
    <w:rsid w:val="00DD2415"/>
    <w:rsid w:val="00DD4531"/>
    <w:rsid w:val="00DD4DCF"/>
    <w:rsid w:val="00DD540D"/>
    <w:rsid w:val="00DD5DAB"/>
    <w:rsid w:val="00DD62F4"/>
    <w:rsid w:val="00DD692D"/>
    <w:rsid w:val="00DD6DF2"/>
    <w:rsid w:val="00DD7A47"/>
    <w:rsid w:val="00DE0836"/>
    <w:rsid w:val="00DE0C28"/>
    <w:rsid w:val="00DE0C6E"/>
    <w:rsid w:val="00DE1A94"/>
    <w:rsid w:val="00DE1CF4"/>
    <w:rsid w:val="00DE3EBC"/>
    <w:rsid w:val="00DE425E"/>
    <w:rsid w:val="00DE447D"/>
    <w:rsid w:val="00DE46FD"/>
    <w:rsid w:val="00DE4819"/>
    <w:rsid w:val="00DF158C"/>
    <w:rsid w:val="00DF294E"/>
    <w:rsid w:val="00DF5817"/>
    <w:rsid w:val="00DF5C69"/>
    <w:rsid w:val="00DF766F"/>
    <w:rsid w:val="00DF7EE1"/>
    <w:rsid w:val="00E0084C"/>
    <w:rsid w:val="00E012DF"/>
    <w:rsid w:val="00E01BD5"/>
    <w:rsid w:val="00E03F75"/>
    <w:rsid w:val="00E061B2"/>
    <w:rsid w:val="00E07C88"/>
    <w:rsid w:val="00E10047"/>
    <w:rsid w:val="00E11540"/>
    <w:rsid w:val="00E1193E"/>
    <w:rsid w:val="00E125E7"/>
    <w:rsid w:val="00E1304D"/>
    <w:rsid w:val="00E1375B"/>
    <w:rsid w:val="00E15F50"/>
    <w:rsid w:val="00E16BD9"/>
    <w:rsid w:val="00E16EAA"/>
    <w:rsid w:val="00E17053"/>
    <w:rsid w:val="00E17848"/>
    <w:rsid w:val="00E17E8B"/>
    <w:rsid w:val="00E202A7"/>
    <w:rsid w:val="00E206A8"/>
    <w:rsid w:val="00E20950"/>
    <w:rsid w:val="00E20E57"/>
    <w:rsid w:val="00E2182B"/>
    <w:rsid w:val="00E21C3D"/>
    <w:rsid w:val="00E21CE0"/>
    <w:rsid w:val="00E22FE9"/>
    <w:rsid w:val="00E235AC"/>
    <w:rsid w:val="00E23EAE"/>
    <w:rsid w:val="00E24E65"/>
    <w:rsid w:val="00E25310"/>
    <w:rsid w:val="00E2532F"/>
    <w:rsid w:val="00E253E4"/>
    <w:rsid w:val="00E25F83"/>
    <w:rsid w:val="00E27307"/>
    <w:rsid w:val="00E3094E"/>
    <w:rsid w:val="00E30D4D"/>
    <w:rsid w:val="00E30F5F"/>
    <w:rsid w:val="00E315C1"/>
    <w:rsid w:val="00E316C5"/>
    <w:rsid w:val="00E33995"/>
    <w:rsid w:val="00E36660"/>
    <w:rsid w:val="00E376B1"/>
    <w:rsid w:val="00E37B7C"/>
    <w:rsid w:val="00E40439"/>
    <w:rsid w:val="00E41A41"/>
    <w:rsid w:val="00E41B64"/>
    <w:rsid w:val="00E4285A"/>
    <w:rsid w:val="00E451D2"/>
    <w:rsid w:val="00E45A9B"/>
    <w:rsid w:val="00E4657C"/>
    <w:rsid w:val="00E46D13"/>
    <w:rsid w:val="00E4775B"/>
    <w:rsid w:val="00E5127F"/>
    <w:rsid w:val="00E530E9"/>
    <w:rsid w:val="00E53248"/>
    <w:rsid w:val="00E540A0"/>
    <w:rsid w:val="00E54A45"/>
    <w:rsid w:val="00E55271"/>
    <w:rsid w:val="00E56405"/>
    <w:rsid w:val="00E5778B"/>
    <w:rsid w:val="00E57C4E"/>
    <w:rsid w:val="00E60AD3"/>
    <w:rsid w:val="00E61CCF"/>
    <w:rsid w:val="00E623B0"/>
    <w:rsid w:val="00E648B1"/>
    <w:rsid w:val="00E666FF"/>
    <w:rsid w:val="00E6715C"/>
    <w:rsid w:val="00E67F26"/>
    <w:rsid w:val="00E70767"/>
    <w:rsid w:val="00E714E0"/>
    <w:rsid w:val="00E71583"/>
    <w:rsid w:val="00E72D30"/>
    <w:rsid w:val="00E72DAD"/>
    <w:rsid w:val="00E731F9"/>
    <w:rsid w:val="00E74094"/>
    <w:rsid w:val="00E74BA4"/>
    <w:rsid w:val="00E75AF6"/>
    <w:rsid w:val="00E75B7A"/>
    <w:rsid w:val="00E76B74"/>
    <w:rsid w:val="00E77A9E"/>
    <w:rsid w:val="00E77C53"/>
    <w:rsid w:val="00E8040D"/>
    <w:rsid w:val="00E8059A"/>
    <w:rsid w:val="00E80E65"/>
    <w:rsid w:val="00E811A9"/>
    <w:rsid w:val="00E82A25"/>
    <w:rsid w:val="00E83FC2"/>
    <w:rsid w:val="00E84121"/>
    <w:rsid w:val="00E843F4"/>
    <w:rsid w:val="00E84CAF"/>
    <w:rsid w:val="00E84FEE"/>
    <w:rsid w:val="00E8606F"/>
    <w:rsid w:val="00E908E0"/>
    <w:rsid w:val="00E948CE"/>
    <w:rsid w:val="00E94C62"/>
    <w:rsid w:val="00E96576"/>
    <w:rsid w:val="00E966A6"/>
    <w:rsid w:val="00E96B94"/>
    <w:rsid w:val="00E96C2E"/>
    <w:rsid w:val="00E97D0F"/>
    <w:rsid w:val="00EA086C"/>
    <w:rsid w:val="00EA0EAF"/>
    <w:rsid w:val="00EA193A"/>
    <w:rsid w:val="00EA1D8F"/>
    <w:rsid w:val="00EA3A49"/>
    <w:rsid w:val="00EA5207"/>
    <w:rsid w:val="00EA793D"/>
    <w:rsid w:val="00EA7C78"/>
    <w:rsid w:val="00EB060B"/>
    <w:rsid w:val="00EB08AF"/>
    <w:rsid w:val="00EB213B"/>
    <w:rsid w:val="00EB30D4"/>
    <w:rsid w:val="00EB4B3D"/>
    <w:rsid w:val="00EB51E9"/>
    <w:rsid w:val="00EB72EE"/>
    <w:rsid w:val="00EB771D"/>
    <w:rsid w:val="00EC0A5D"/>
    <w:rsid w:val="00EC2D55"/>
    <w:rsid w:val="00EC2DF0"/>
    <w:rsid w:val="00EC3969"/>
    <w:rsid w:val="00EC4215"/>
    <w:rsid w:val="00EC4484"/>
    <w:rsid w:val="00EC53C2"/>
    <w:rsid w:val="00EC547F"/>
    <w:rsid w:val="00EC5504"/>
    <w:rsid w:val="00EC5D43"/>
    <w:rsid w:val="00EC64D7"/>
    <w:rsid w:val="00EC78D9"/>
    <w:rsid w:val="00ED1078"/>
    <w:rsid w:val="00ED1642"/>
    <w:rsid w:val="00ED1A6E"/>
    <w:rsid w:val="00ED2991"/>
    <w:rsid w:val="00ED2A01"/>
    <w:rsid w:val="00ED2A36"/>
    <w:rsid w:val="00ED3206"/>
    <w:rsid w:val="00ED3210"/>
    <w:rsid w:val="00EE1083"/>
    <w:rsid w:val="00EE1D62"/>
    <w:rsid w:val="00EE3B91"/>
    <w:rsid w:val="00EE5A3F"/>
    <w:rsid w:val="00EE78E4"/>
    <w:rsid w:val="00EE7FC1"/>
    <w:rsid w:val="00EF01E9"/>
    <w:rsid w:val="00EF1836"/>
    <w:rsid w:val="00EF3537"/>
    <w:rsid w:val="00EF3638"/>
    <w:rsid w:val="00F009B5"/>
    <w:rsid w:val="00F02026"/>
    <w:rsid w:val="00F03260"/>
    <w:rsid w:val="00F03713"/>
    <w:rsid w:val="00F03993"/>
    <w:rsid w:val="00F046AE"/>
    <w:rsid w:val="00F04A57"/>
    <w:rsid w:val="00F059AB"/>
    <w:rsid w:val="00F070AC"/>
    <w:rsid w:val="00F07523"/>
    <w:rsid w:val="00F10049"/>
    <w:rsid w:val="00F10850"/>
    <w:rsid w:val="00F1103B"/>
    <w:rsid w:val="00F11312"/>
    <w:rsid w:val="00F15A2C"/>
    <w:rsid w:val="00F16602"/>
    <w:rsid w:val="00F20452"/>
    <w:rsid w:val="00F23321"/>
    <w:rsid w:val="00F23615"/>
    <w:rsid w:val="00F24381"/>
    <w:rsid w:val="00F252ED"/>
    <w:rsid w:val="00F26177"/>
    <w:rsid w:val="00F26D78"/>
    <w:rsid w:val="00F2710F"/>
    <w:rsid w:val="00F276D1"/>
    <w:rsid w:val="00F27A59"/>
    <w:rsid w:val="00F27F87"/>
    <w:rsid w:val="00F31203"/>
    <w:rsid w:val="00F347D0"/>
    <w:rsid w:val="00F358A0"/>
    <w:rsid w:val="00F35FEC"/>
    <w:rsid w:val="00F373E9"/>
    <w:rsid w:val="00F405E4"/>
    <w:rsid w:val="00F42B31"/>
    <w:rsid w:val="00F43756"/>
    <w:rsid w:val="00F44B5A"/>
    <w:rsid w:val="00F458C3"/>
    <w:rsid w:val="00F459A8"/>
    <w:rsid w:val="00F45A33"/>
    <w:rsid w:val="00F463A4"/>
    <w:rsid w:val="00F4651B"/>
    <w:rsid w:val="00F46871"/>
    <w:rsid w:val="00F479FF"/>
    <w:rsid w:val="00F51115"/>
    <w:rsid w:val="00F51641"/>
    <w:rsid w:val="00F522C3"/>
    <w:rsid w:val="00F52B3F"/>
    <w:rsid w:val="00F52BC6"/>
    <w:rsid w:val="00F53199"/>
    <w:rsid w:val="00F53767"/>
    <w:rsid w:val="00F53C0C"/>
    <w:rsid w:val="00F56147"/>
    <w:rsid w:val="00F5690A"/>
    <w:rsid w:val="00F57AE8"/>
    <w:rsid w:val="00F62049"/>
    <w:rsid w:val="00F63805"/>
    <w:rsid w:val="00F645E7"/>
    <w:rsid w:val="00F66676"/>
    <w:rsid w:val="00F668DB"/>
    <w:rsid w:val="00F700AC"/>
    <w:rsid w:val="00F7156E"/>
    <w:rsid w:val="00F74A3E"/>
    <w:rsid w:val="00F754F2"/>
    <w:rsid w:val="00F7730F"/>
    <w:rsid w:val="00F8071A"/>
    <w:rsid w:val="00F80DAF"/>
    <w:rsid w:val="00F81744"/>
    <w:rsid w:val="00F83FBC"/>
    <w:rsid w:val="00F84044"/>
    <w:rsid w:val="00F863AC"/>
    <w:rsid w:val="00F87487"/>
    <w:rsid w:val="00F87B9A"/>
    <w:rsid w:val="00F91082"/>
    <w:rsid w:val="00F9233E"/>
    <w:rsid w:val="00F93AFE"/>
    <w:rsid w:val="00F94E1E"/>
    <w:rsid w:val="00F97A0F"/>
    <w:rsid w:val="00FA061C"/>
    <w:rsid w:val="00FA2885"/>
    <w:rsid w:val="00FA2F14"/>
    <w:rsid w:val="00FA45DB"/>
    <w:rsid w:val="00FA52B5"/>
    <w:rsid w:val="00FA5E7F"/>
    <w:rsid w:val="00FA6BB4"/>
    <w:rsid w:val="00FA7587"/>
    <w:rsid w:val="00FB19A0"/>
    <w:rsid w:val="00FB3278"/>
    <w:rsid w:val="00FB35D8"/>
    <w:rsid w:val="00FB5B36"/>
    <w:rsid w:val="00FB5B43"/>
    <w:rsid w:val="00FB6075"/>
    <w:rsid w:val="00FB7AC8"/>
    <w:rsid w:val="00FC11BF"/>
    <w:rsid w:val="00FC1721"/>
    <w:rsid w:val="00FC30BB"/>
    <w:rsid w:val="00FC489E"/>
    <w:rsid w:val="00FC51BC"/>
    <w:rsid w:val="00FC67BC"/>
    <w:rsid w:val="00FC7828"/>
    <w:rsid w:val="00FD004A"/>
    <w:rsid w:val="00FD14CD"/>
    <w:rsid w:val="00FD2BC8"/>
    <w:rsid w:val="00FD5C19"/>
    <w:rsid w:val="00FD6159"/>
    <w:rsid w:val="00FD69D2"/>
    <w:rsid w:val="00FD6AA6"/>
    <w:rsid w:val="00FD72B8"/>
    <w:rsid w:val="00FD78F7"/>
    <w:rsid w:val="00FE0D40"/>
    <w:rsid w:val="00FE1337"/>
    <w:rsid w:val="00FE20C4"/>
    <w:rsid w:val="00FE28F8"/>
    <w:rsid w:val="00FE2963"/>
    <w:rsid w:val="00FE29FF"/>
    <w:rsid w:val="00FE2DC5"/>
    <w:rsid w:val="00FE3918"/>
    <w:rsid w:val="00FE48F7"/>
    <w:rsid w:val="00FE4D2B"/>
    <w:rsid w:val="00FE5A47"/>
    <w:rsid w:val="00FE5D08"/>
    <w:rsid w:val="00FE6E45"/>
    <w:rsid w:val="00FE73D6"/>
    <w:rsid w:val="00FF0797"/>
    <w:rsid w:val="00FF0D25"/>
    <w:rsid w:val="00FF108C"/>
    <w:rsid w:val="00FF15C7"/>
    <w:rsid w:val="00FF161F"/>
    <w:rsid w:val="00FF2661"/>
    <w:rsid w:val="00FF38FB"/>
    <w:rsid w:val="00FF4542"/>
    <w:rsid w:val="00FF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705A2"/>
  <w15:docId w15:val="{267BD3F3-DA84-4E14-BDE2-BDD8D202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88" w:lineRule="auto"/>
    </w:pPr>
    <w:rPr>
      <w:lang w:eastAsia="en-US"/>
    </w:rPr>
  </w:style>
  <w:style w:type="paragraph" w:styleId="Heading1">
    <w:name w:val="heading 1"/>
    <w:basedOn w:val="Normal"/>
    <w:next w:val="Heading2"/>
    <w:link w:val="Heading1Char"/>
    <w:qFormat/>
    <w:rsid w:val="00F91082"/>
    <w:pPr>
      <w:keepNext/>
      <w:pageBreakBefore/>
      <w:spacing w:after="370" w:line="370" w:lineRule="atLeast"/>
      <w:outlineLvl w:val="0"/>
    </w:pPr>
    <w:rPr>
      <w:rFonts w:ascii="Calibri" w:hAnsi="Calibri"/>
      <w:b/>
      <w:kern w:val="28"/>
      <w:sz w:val="24"/>
    </w:rPr>
  </w:style>
  <w:style w:type="paragraph" w:styleId="Heading2">
    <w:name w:val="heading 2"/>
    <w:basedOn w:val="Normal"/>
    <w:next w:val="BodyText"/>
    <w:link w:val="Heading2Char"/>
    <w:qFormat/>
    <w:pPr>
      <w:keepNext/>
      <w:spacing w:after="0" w:line="260" w:lineRule="atLeast"/>
      <w:outlineLvl w:val="1"/>
    </w:pPr>
    <w:rPr>
      <w:b/>
    </w:rPr>
  </w:style>
  <w:style w:type="paragraph" w:styleId="Heading3">
    <w:name w:val="heading 3"/>
    <w:basedOn w:val="Normal"/>
    <w:next w:val="Heading4"/>
    <w:link w:val="Heading3Char"/>
    <w:qFormat/>
    <w:pPr>
      <w:keepNext/>
      <w:tabs>
        <w:tab w:val="num" w:pos="510"/>
      </w:tabs>
      <w:spacing w:after="370" w:line="370" w:lineRule="atLeast"/>
      <w:ind w:left="510" w:hanging="510"/>
      <w:outlineLvl w:val="2"/>
    </w:pPr>
    <w:rPr>
      <w:b/>
      <w:sz w:val="28"/>
    </w:rPr>
  </w:style>
  <w:style w:type="paragraph" w:styleId="Heading4">
    <w:name w:val="heading 4"/>
    <w:basedOn w:val="Normal"/>
    <w:next w:val="BodyText"/>
    <w:link w:val="Heading4Char"/>
    <w:qFormat/>
    <w:pPr>
      <w:keepNext/>
      <w:numPr>
        <w:numId w:val="5"/>
      </w:numPr>
      <w:tabs>
        <w:tab w:val="clear" w:pos="720"/>
      </w:tabs>
      <w:ind w:left="0" w:firstLine="0"/>
      <w:outlineLvl w:val="3"/>
    </w:pPr>
    <w:rPr>
      <w:b/>
    </w:rPr>
  </w:style>
  <w:style w:type="paragraph" w:styleId="Heading5">
    <w:name w:val="heading 5"/>
    <w:basedOn w:val="Normal"/>
    <w:next w:val="Heading6"/>
    <w:link w:val="Heading5Char"/>
    <w:qFormat/>
    <w:pPr>
      <w:keepNext/>
      <w:spacing w:after="0" w:line="260" w:lineRule="atLeast"/>
      <w:outlineLvl w:val="4"/>
    </w:pPr>
  </w:style>
  <w:style w:type="paragraph" w:styleId="Heading6">
    <w:name w:val="heading 6"/>
    <w:basedOn w:val="Normal"/>
    <w:next w:val="BodyText"/>
    <w:link w:val="Heading6Char"/>
    <w:qFormat/>
    <w:pPr>
      <w:keepNext/>
      <w:spacing w:after="0" w:line="260" w:lineRule="atLeast"/>
      <w:outlineLvl w:val="5"/>
    </w:pPr>
  </w:style>
  <w:style w:type="paragraph" w:styleId="Heading7">
    <w:name w:val="heading 7"/>
    <w:basedOn w:val="Normal"/>
    <w:next w:val="BodyText"/>
    <w:link w:val="Heading7Char"/>
    <w:qFormat/>
    <w:pPr>
      <w:keepNext/>
      <w:spacing w:after="0" w:line="260" w:lineRule="atLeast"/>
      <w:outlineLvl w:val="6"/>
    </w:pPr>
  </w:style>
  <w:style w:type="paragraph" w:styleId="Heading8">
    <w:name w:val="heading 8"/>
    <w:basedOn w:val="Normal"/>
    <w:next w:val="BodyText"/>
    <w:link w:val="Heading8Char"/>
    <w:qFormat/>
    <w:pPr>
      <w:keepNext/>
      <w:spacing w:after="0" w:line="260" w:lineRule="atLeast"/>
      <w:outlineLvl w:val="7"/>
    </w:pPr>
  </w:style>
  <w:style w:type="paragraph" w:styleId="Heading9">
    <w:name w:val="heading 9"/>
    <w:basedOn w:val="Normal"/>
    <w:next w:val="BodyText"/>
    <w:link w:val="Heading9Char"/>
    <w:qFormat/>
    <w:pPr>
      <w:keepNext/>
      <w:spacing w:after="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91082"/>
    <w:rPr>
      <w:rFonts w:ascii="Calibri" w:hAnsi="Calibri"/>
      <w:b/>
      <w:kern w:val="28"/>
      <w:sz w:val="24"/>
      <w:lang w:eastAsia="en-US"/>
    </w:rPr>
  </w:style>
  <w:style w:type="character" w:customStyle="1" w:styleId="Heading2Char">
    <w:name w:val="Heading 2 Char"/>
    <w:basedOn w:val="DefaultParagraphFont"/>
    <w:link w:val="Heading2"/>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locked/>
    <w:rPr>
      <w:rFonts w:cs="Times New Roman"/>
      <w:b/>
      <w:sz w:val="20"/>
      <w:szCs w:val="20"/>
      <w:lang w:val="x-none" w:eastAsia="en-US"/>
    </w:rPr>
  </w:style>
  <w:style w:type="character" w:customStyle="1" w:styleId="Heading4Char">
    <w:name w:val="Heading 4 Char"/>
    <w:basedOn w:val="DefaultParagraphFont"/>
    <w:link w:val="Heading4"/>
    <w:locked/>
    <w:rPr>
      <w:b/>
      <w:lang w:val="en-GB" w:eastAsia="en-US" w:bidi="ar-SA"/>
    </w:rPr>
  </w:style>
  <w:style w:type="character" w:customStyle="1" w:styleId="Heading5Char">
    <w:name w:val="Heading 5 Char"/>
    <w:basedOn w:val="DefaultParagraphFont"/>
    <w:link w:val="Heading5"/>
    <w:semiHidden/>
    <w:locked/>
    <w:rPr>
      <w:rFonts w:ascii="Calibri" w:hAnsi="Calibri" w:cs="Times New Roman"/>
      <w:b/>
      <w:bCs/>
      <w:i/>
      <w:iCs/>
      <w:sz w:val="26"/>
      <w:szCs w:val="26"/>
      <w:lang w:val="x-none" w:eastAsia="en-US"/>
    </w:rPr>
  </w:style>
  <w:style w:type="character" w:customStyle="1" w:styleId="Heading6Char">
    <w:name w:val="Heading 6 Char"/>
    <w:basedOn w:val="DefaultParagraphFont"/>
    <w:link w:val="Heading6"/>
    <w:semiHidden/>
    <w:locked/>
    <w:rPr>
      <w:rFonts w:ascii="Calibri" w:hAnsi="Calibri" w:cs="Times New Roman"/>
      <w:b/>
      <w:bCs/>
      <w:lang w:val="x-none" w:eastAsia="en-US"/>
    </w:rPr>
  </w:style>
  <w:style w:type="character" w:customStyle="1" w:styleId="Heading7Char">
    <w:name w:val="Heading 7 Char"/>
    <w:basedOn w:val="DefaultParagraphFont"/>
    <w:link w:val="Heading7"/>
    <w:semiHidden/>
    <w:locked/>
    <w:rPr>
      <w:rFonts w:ascii="Calibri" w:hAnsi="Calibri" w:cs="Times New Roman"/>
      <w:sz w:val="24"/>
      <w:szCs w:val="24"/>
      <w:lang w:val="x-none" w:eastAsia="en-US"/>
    </w:rPr>
  </w:style>
  <w:style w:type="character" w:customStyle="1" w:styleId="Heading8Char">
    <w:name w:val="Heading 8 Char"/>
    <w:basedOn w:val="DefaultParagraphFont"/>
    <w:link w:val="Heading8"/>
    <w:semiHidden/>
    <w:locked/>
    <w:rPr>
      <w:rFonts w:ascii="Calibri" w:hAnsi="Calibri" w:cs="Times New Roman"/>
      <w:i/>
      <w:iCs/>
      <w:sz w:val="24"/>
      <w:szCs w:val="24"/>
      <w:lang w:val="x-none" w:eastAsia="en-US"/>
    </w:rPr>
  </w:style>
  <w:style w:type="character" w:customStyle="1" w:styleId="Heading9Char">
    <w:name w:val="Heading 9 Char"/>
    <w:basedOn w:val="DefaultParagraphFont"/>
    <w:link w:val="Heading9"/>
    <w:semiHidden/>
    <w:locked/>
    <w:rPr>
      <w:rFonts w:ascii="Cambria" w:hAnsi="Cambria" w:cs="Times New Roman"/>
      <w:lang w:val="x-none" w:eastAsia="en-US"/>
    </w:rPr>
  </w:style>
  <w:style w:type="paragraph" w:styleId="BodyText">
    <w:name w:val="Body Text"/>
    <w:basedOn w:val="Normal"/>
    <w:link w:val="BodyTextChar"/>
  </w:style>
  <w:style w:type="character" w:customStyle="1" w:styleId="BodyTextChar">
    <w:name w:val="Body Text Char"/>
    <w:basedOn w:val="DefaultParagraphFont"/>
    <w:link w:val="BodyText"/>
    <w:semiHidden/>
    <w:locked/>
    <w:rPr>
      <w:rFonts w:cs="Times New Roman"/>
      <w:sz w:val="20"/>
      <w:szCs w:val="20"/>
      <w:lang w:val="x-none" w:eastAsia="en-US"/>
    </w:rPr>
  </w:style>
  <w:style w:type="paragraph" w:styleId="NormalIndent">
    <w:name w:val="Normal Indent"/>
    <w:basedOn w:val="Normal"/>
    <w:pPr>
      <w:ind w:left="595"/>
    </w:pPr>
  </w:style>
  <w:style w:type="paragraph" w:styleId="Title">
    <w:name w:val="Title"/>
    <w:basedOn w:val="Normal"/>
    <w:link w:val="TitleChar"/>
    <w:qFormat/>
    <w:pPr>
      <w:keepNext/>
      <w:spacing w:after="0" w:line="600" w:lineRule="atLeast"/>
      <w:outlineLvl w:val="0"/>
    </w:pPr>
    <w:rPr>
      <w:kern w:val="28"/>
      <w:sz w:val="36"/>
    </w:rPr>
  </w:style>
  <w:style w:type="character" w:customStyle="1" w:styleId="TitleChar">
    <w:name w:val="Title Char"/>
    <w:basedOn w:val="DefaultParagraphFont"/>
    <w:link w:val="Title"/>
    <w:locked/>
    <w:rPr>
      <w:rFonts w:ascii="Cambria" w:hAnsi="Cambria" w:cs="Times New Roman"/>
      <w:b/>
      <w:bCs/>
      <w:kern w:val="28"/>
      <w:sz w:val="32"/>
      <w:szCs w:val="32"/>
      <w:lang w:val="x-none" w:eastAsia="en-US"/>
    </w:rPr>
  </w:style>
  <w:style w:type="paragraph" w:styleId="Subtitle">
    <w:name w:val="Subtitle"/>
    <w:basedOn w:val="Normal"/>
    <w:next w:val="Heading2"/>
    <w:link w:val="SubtitleChar"/>
    <w:qFormat/>
    <w:pPr>
      <w:keepNext/>
      <w:spacing w:after="370" w:line="370" w:lineRule="atLeast"/>
    </w:pPr>
    <w:rPr>
      <w:b/>
      <w:sz w:val="30"/>
    </w:rPr>
  </w:style>
  <w:style w:type="character" w:customStyle="1" w:styleId="SubtitleChar">
    <w:name w:val="Subtitle Char"/>
    <w:basedOn w:val="DefaultParagraphFont"/>
    <w:link w:val="Subtitle"/>
    <w:locked/>
    <w:rPr>
      <w:rFonts w:ascii="Cambria" w:hAnsi="Cambria" w:cs="Times New Roman"/>
      <w:sz w:val="24"/>
      <w:szCs w:val="24"/>
      <w:lang w:val="x-none" w:eastAsia="en-US"/>
    </w:rPr>
  </w:style>
  <w:style w:type="paragraph" w:styleId="Header">
    <w:name w:val="header"/>
    <w:basedOn w:val="Normal"/>
    <w:link w:val="HeaderChar"/>
    <w:pPr>
      <w:tabs>
        <w:tab w:val="center" w:pos="4167"/>
        <w:tab w:val="right" w:pos="8929"/>
      </w:tabs>
      <w:spacing w:after="0" w:line="220" w:lineRule="atLeast"/>
    </w:pPr>
    <w:rPr>
      <w:b/>
      <w:sz w:val="30"/>
    </w:rPr>
  </w:style>
  <w:style w:type="character" w:customStyle="1" w:styleId="HeaderChar">
    <w:name w:val="Header Char"/>
    <w:basedOn w:val="DefaultParagraphFont"/>
    <w:link w:val="Header"/>
    <w:semiHidden/>
    <w:locked/>
    <w:rPr>
      <w:rFonts w:cs="Times New Roman"/>
      <w:sz w:val="20"/>
      <w:szCs w:val="20"/>
      <w:lang w:val="x-none" w:eastAsia="en-US"/>
    </w:rPr>
  </w:style>
  <w:style w:type="paragraph" w:styleId="Footer">
    <w:name w:val="footer"/>
    <w:basedOn w:val="Normal"/>
    <w:link w:val="FooterChar"/>
    <w:uiPriority w:val="99"/>
    <w:pPr>
      <w:tabs>
        <w:tab w:val="center" w:pos="4167"/>
        <w:tab w:val="right" w:pos="8929"/>
      </w:tabs>
      <w:spacing w:after="0" w:line="220" w:lineRule="atLeast"/>
    </w:pPr>
    <w:rPr>
      <w:sz w:val="16"/>
    </w:r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TOC1">
    <w:name w:val="toc 1"/>
    <w:basedOn w:val="Normal"/>
    <w:next w:val="Normal"/>
    <w:uiPriority w:val="39"/>
    <w:pPr>
      <w:spacing w:after="0"/>
    </w:pPr>
  </w:style>
  <w:style w:type="paragraph" w:styleId="TOC2">
    <w:name w:val="toc 2"/>
    <w:basedOn w:val="Normal"/>
    <w:next w:val="Normal"/>
    <w:semiHidden/>
    <w:pPr>
      <w:spacing w:after="0"/>
      <w:ind w:left="200"/>
    </w:pPr>
  </w:style>
  <w:style w:type="paragraph" w:styleId="TOC3">
    <w:name w:val="toc 3"/>
    <w:basedOn w:val="Normal"/>
    <w:next w:val="Normal"/>
    <w:semiHidden/>
    <w:pPr>
      <w:spacing w:after="0"/>
      <w:ind w:left="400"/>
    </w:pPr>
  </w:style>
  <w:style w:type="paragraph" w:styleId="TOC4">
    <w:name w:val="toc 4"/>
    <w:basedOn w:val="Normal"/>
    <w:next w:val="Normal"/>
    <w:semiHidden/>
    <w:pPr>
      <w:spacing w:after="0"/>
      <w:ind w:left="600"/>
    </w:pPr>
  </w:style>
  <w:style w:type="paragraph" w:styleId="TOC5">
    <w:name w:val="toc 5"/>
    <w:basedOn w:val="Normal"/>
    <w:next w:val="Normal"/>
    <w:semiHidden/>
    <w:pPr>
      <w:spacing w:after="0"/>
      <w:ind w:left="800"/>
    </w:pPr>
  </w:style>
  <w:style w:type="paragraph" w:styleId="TOC6">
    <w:name w:val="toc 6"/>
    <w:basedOn w:val="Normal"/>
    <w:next w:val="Normal"/>
    <w:semiHidden/>
    <w:pPr>
      <w:spacing w:after="0"/>
      <w:ind w:left="1000"/>
    </w:pPr>
  </w:style>
  <w:style w:type="paragraph" w:styleId="TOC7">
    <w:name w:val="toc 7"/>
    <w:basedOn w:val="Normal"/>
    <w:next w:val="Normal"/>
    <w:semiHidden/>
    <w:pPr>
      <w:spacing w:after="0"/>
      <w:ind w:left="1200"/>
    </w:pPr>
  </w:style>
  <w:style w:type="paragraph" w:styleId="TOC8">
    <w:name w:val="toc 8"/>
    <w:basedOn w:val="Normal"/>
    <w:next w:val="Normal"/>
    <w:semiHidden/>
    <w:pPr>
      <w:spacing w:after="0"/>
      <w:ind w:left="1400"/>
    </w:pPr>
  </w:style>
  <w:style w:type="paragraph" w:styleId="TOC9">
    <w:name w:val="toc 9"/>
    <w:basedOn w:val="Normal"/>
    <w:next w:val="Normal"/>
    <w:semiHidden/>
    <w:pPr>
      <w:spacing w:after="0"/>
      <w:ind w:left="1600"/>
    </w:pPr>
  </w:style>
  <w:style w:type="paragraph" w:styleId="BlockText">
    <w:name w:val="Block Text"/>
    <w:basedOn w:val="Normal"/>
    <w:next w:val="BodyText"/>
    <w:pPr>
      <w:spacing w:after="120"/>
      <w:ind w:left="595" w:right="595"/>
    </w:pPr>
  </w:style>
  <w:style w:type="paragraph" w:styleId="BodyTextIndent">
    <w:name w:val="Body Text Indent"/>
    <w:basedOn w:val="BodyText"/>
    <w:link w:val="BodyTextIndentChar"/>
    <w:pPr>
      <w:ind w:left="595"/>
    </w:pPr>
  </w:style>
  <w:style w:type="character" w:customStyle="1" w:styleId="BodyTextIndentChar">
    <w:name w:val="Body Text Indent Char"/>
    <w:basedOn w:val="DefaultParagraphFont"/>
    <w:link w:val="BodyTextIndent"/>
    <w:semiHidden/>
    <w:locked/>
    <w:rPr>
      <w:rFonts w:cs="Times New Roman"/>
      <w:sz w:val="20"/>
      <w:szCs w:val="20"/>
      <w:lang w:val="x-none" w:eastAsia="en-US"/>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semiHidden/>
    <w:locked/>
    <w:rPr>
      <w:rFonts w:cs="Times New Roman"/>
      <w:sz w:val="20"/>
      <w:szCs w:val="20"/>
      <w:lang w:val="x-none" w:eastAsia="en-US"/>
    </w:rPr>
  </w:style>
  <w:style w:type="paragraph" w:styleId="BodyTextIndent2">
    <w:name w:val="Body Text Indent 2"/>
    <w:basedOn w:val="BodyText2"/>
    <w:link w:val="BodyTextIndent2Char"/>
    <w:pPr>
      <w:spacing w:after="120"/>
      <w:ind w:left="595"/>
    </w:pPr>
  </w:style>
  <w:style w:type="character" w:customStyle="1" w:styleId="BodyTextIndent2Char">
    <w:name w:val="Body Text Indent 2 Char"/>
    <w:basedOn w:val="DefaultParagraphFont"/>
    <w:link w:val="BodyTextIndent2"/>
    <w:semiHidden/>
    <w:locked/>
    <w:rPr>
      <w:rFonts w:cs="Times New Roman"/>
      <w:sz w:val="20"/>
      <w:szCs w:val="20"/>
      <w:lang w:val="x-none" w:eastAsia="en-US"/>
    </w:rPr>
  </w:style>
  <w:style w:type="paragraph" w:styleId="BodyText3">
    <w:name w:val="Body Text 3"/>
    <w:basedOn w:val="Normal"/>
    <w:link w:val="BodyText3Char"/>
    <w:pPr>
      <w:spacing w:after="288"/>
    </w:pPr>
    <w:rPr>
      <w:sz w:val="16"/>
    </w:rPr>
  </w:style>
  <w:style w:type="character" w:customStyle="1" w:styleId="BodyText3Char">
    <w:name w:val="Body Text 3 Char"/>
    <w:basedOn w:val="DefaultParagraphFont"/>
    <w:link w:val="BodyText3"/>
    <w:semiHidden/>
    <w:locked/>
    <w:rPr>
      <w:rFonts w:cs="Times New Roman"/>
      <w:sz w:val="16"/>
      <w:szCs w:val="16"/>
      <w:lang w:val="x-none" w:eastAsia="en-US"/>
    </w:rPr>
  </w:style>
  <w:style w:type="paragraph" w:styleId="BodyTextIndent3">
    <w:name w:val="Body Text Indent 3"/>
    <w:basedOn w:val="BodyText3"/>
    <w:link w:val="BodyTextIndent3Char"/>
    <w:pPr>
      <w:ind w:left="595"/>
    </w:pPr>
    <w:rPr>
      <w:sz w:val="18"/>
    </w:rPr>
  </w:style>
  <w:style w:type="character" w:customStyle="1" w:styleId="BodyTextIndent3Char">
    <w:name w:val="Body Text Indent 3 Char"/>
    <w:basedOn w:val="DefaultParagraphFont"/>
    <w:link w:val="BodyTextIndent3"/>
    <w:semiHidden/>
    <w:locked/>
    <w:rPr>
      <w:rFonts w:cs="Times New Roman"/>
      <w:sz w:val="16"/>
      <w:szCs w:val="16"/>
      <w:lang w:val="x-none" w:eastAsia="en-US"/>
    </w:rPr>
  </w:style>
  <w:style w:type="paragraph" w:styleId="BodyTextFirstIndent">
    <w:name w:val="Body Text First Indent"/>
    <w:basedOn w:val="BodyText"/>
    <w:link w:val="BodyTextFirstIndentChar"/>
    <w:pPr>
      <w:spacing w:after="120"/>
      <w:ind w:firstLine="595"/>
    </w:pPr>
  </w:style>
  <w:style w:type="character" w:customStyle="1" w:styleId="BodyTextFirstIndentChar">
    <w:name w:val="Body Text First Indent Char"/>
    <w:basedOn w:val="BodyTextChar"/>
    <w:link w:val="BodyTextFirstIndent"/>
    <w:semiHidden/>
    <w:locked/>
    <w:rPr>
      <w:rFonts w:cs="Times New Roman"/>
      <w:sz w:val="20"/>
      <w:szCs w:val="20"/>
      <w:lang w:val="x-none" w:eastAsia="en-US"/>
    </w:rPr>
  </w:style>
  <w:style w:type="paragraph" w:styleId="BodyTextFirstIndent2">
    <w:name w:val="Body Text First Indent 2"/>
    <w:basedOn w:val="BodyTextFirstIndent"/>
    <w:link w:val="BodyTextFirstIndent2Char"/>
    <w:pPr>
      <w:ind w:left="595"/>
    </w:pPr>
  </w:style>
  <w:style w:type="character" w:customStyle="1" w:styleId="BodyTextFirstIndent2Char">
    <w:name w:val="Body Text First Indent 2 Char"/>
    <w:basedOn w:val="BodyTextIndentChar"/>
    <w:link w:val="BodyTextFirstIndent2"/>
    <w:semiHidden/>
    <w:locked/>
    <w:rPr>
      <w:rFonts w:cs="Times New Roman"/>
      <w:sz w:val="20"/>
      <w:szCs w:val="20"/>
      <w:lang w:val="x-none" w:eastAsia="en-US"/>
    </w:rPr>
  </w:style>
  <w:style w:type="paragraph" w:styleId="Caption">
    <w:name w:val="caption"/>
    <w:aliases w:val="Table options"/>
    <w:basedOn w:val="Normal"/>
    <w:next w:val="Normal"/>
    <w:qFormat/>
    <w:pPr>
      <w:spacing w:after="0"/>
    </w:pPr>
    <w:rPr>
      <w:sz w:val="24"/>
    </w:rPr>
  </w:style>
  <w:style w:type="paragraph" w:styleId="Closing">
    <w:name w:val="Closing"/>
    <w:basedOn w:val="Normal"/>
    <w:link w:val="ClosingChar"/>
  </w:style>
  <w:style w:type="character" w:customStyle="1" w:styleId="ClosingChar">
    <w:name w:val="Closing Char"/>
    <w:basedOn w:val="DefaultParagraphFont"/>
    <w:link w:val="Closing"/>
    <w:semiHidden/>
    <w:locked/>
    <w:rPr>
      <w:rFonts w:cs="Times New Roman"/>
      <w:sz w:val="20"/>
      <w:szCs w:val="20"/>
      <w:lang w:val="x-none" w:eastAsia="en-US"/>
    </w:rPr>
  </w:style>
  <w:style w:type="paragraph" w:styleId="EnvelopeAddress">
    <w:name w:val="envelope address"/>
    <w:basedOn w:val="Normal"/>
    <w:pPr>
      <w:framePr w:w="7920" w:h="1980" w:hRule="exact" w:hSpace="180" w:wrap="auto" w:hAnchor="page" w:xAlign="center" w:yAlign="bottom"/>
      <w:spacing w:after="0"/>
      <w:ind w:left="2976"/>
    </w:pPr>
    <w:rPr>
      <w:sz w:val="24"/>
    </w:rPr>
  </w:style>
  <w:style w:type="paragraph" w:styleId="EnvelopeReturn">
    <w:name w:val="envelope return"/>
    <w:basedOn w:val="Normal"/>
    <w:pPr>
      <w:spacing w:after="0"/>
    </w:pPr>
    <w:rPr>
      <w:rFonts w:ascii="Arial" w:hAnsi="Arial"/>
    </w:rPr>
  </w:style>
  <w:style w:type="paragraph" w:styleId="Index1">
    <w:name w:val="index 1"/>
    <w:basedOn w:val="Normal"/>
    <w:next w:val="Normal"/>
    <w:semiHidden/>
    <w:pPr>
      <w:spacing w:after="0"/>
      <w:ind w:firstLine="298"/>
    </w:pPr>
  </w:style>
  <w:style w:type="paragraph" w:styleId="Index2">
    <w:name w:val="index 2"/>
    <w:basedOn w:val="Normal"/>
    <w:next w:val="Normal"/>
    <w:semiHidden/>
    <w:pPr>
      <w:spacing w:after="0"/>
      <w:ind w:left="140" w:firstLine="298"/>
    </w:pPr>
  </w:style>
  <w:style w:type="paragraph" w:styleId="Index3">
    <w:name w:val="index 3"/>
    <w:basedOn w:val="Normal"/>
    <w:next w:val="Normal"/>
    <w:semiHidden/>
    <w:pPr>
      <w:spacing w:after="0"/>
      <w:ind w:left="300" w:firstLine="298"/>
    </w:pPr>
  </w:style>
  <w:style w:type="paragraph" w:styleId="Index4">
    <w:name w:val="index 4"/>
    <w:basedOn w:val="Normal"/>
    <w:next w:val="Normal"/>
    <w:semiHidden/>
    <w:pPr>
      <w:spacing w:after="0"/>
      <w:ind w:left="440" w:firstLine="298"/>
    </w:pPr>
  </w:style>
  <w:style w:type="paragraph" w:styleId="Index5">
    <w:name w:val="index 5"/>
    <w:basedOn w:val="Normal"/>
    <w:next w:val="Normal"/>
    <w:semiHidden/>
    <w:pPr>
      <w:spacing w:after="0"/>
      <w:ind w:left="600" w:firstLine="298"/>
    </w:pPr>
  </w:style>
  <w:style w:type="paragraph" w:styleId="Index6">
    <w:name w:val="index 6"/>
    <w:basedOn w:val="Normal"/>
    <w:next w:val="Normal"/>
    <w:semiHidden/>
    <w:pPr>
      <w:spacing w:after="0"/>
      <w:ind w:left="740" w:firstLine="298"/>
    </w:pPr>
  </w:style>
  <w:style w:type="paragraph" w:styleId="Index7">
    <w:name w:val="index 7"/>
    <w:basedOn w:val="Normal"/>
    <w:next w:val="Normal"/>
    <w:semiHidden/>
    <w:pPr>
      <w:spacing w:after="0"/>
      <w:ind w:left="900" w:firstLine="298"/>
    </w:pPr>
  </w:style>
  <w:style w:type="paragraph" w:styleId="Index8">
    <w:name w:val="index 8"/>
    <w:basedOn w:val="Normal"/>
    <w:next w:val="Normal"/>
    <w:semiHidden/>
    <w:pPr>
      <w:spacing w:after="0"/>
      <w:ind w:left="1040" w:firstLine="298"/>
    </w:pPr>
  </w:style>
  <w:style w:type="paragraph" w:styleId="Index9">
    <w:name w:val="index 9"/>
    <w:basedOn w:val="Normal"/>
    <w:next w:val="Normal"/>
    <w:semiHidden/>
    <w:pPr>
      <w:spacing w:after="0"/>
      <w:ind w:left="1200" w:firstLine="298"/>
    </w:pPr>
  </w:style>
  <w:style w:type="paragraph" w:styleId="IndexHeading">
    <w:name w:val="index heading"/>
    <w:basedOn w:val="Normal"/>
    <w:next w:val="Index1"/>
    <w:semiHidden/>
    <w:rPr>
      <w:b/>
    </w:rPr>
  </w:style>
  <w:style w:type="paragraph" w:styleId="List">
    <w:name w:val="List"/>
    <w:basedOn w:val="Normal"/>
    <w:pPr>
      <w:ind w:left="595" w:hanging="595"/>
    </w:pPr>
  </w:style>
  <w:style w:type="paragraph" w:styleId="List2">
    <w:name w:val="List 2"/>
    <w:basedOn w:val="Normal"/>
    <w:pPr>
      <w:ind w:left="1191" w:hanging="595"/>
    </w:pPr>
  </w:style>
  <w:style w:type="paragraph" w:styleId="List3">
    <w:name w:val="List 3"/>
    <w:basedOn w:val="Normal"/>
    <w:pPr>
      <w:ind w:left="1786" w:hanging="595"/>
    </w:pPr>
  </w:style>
  <w:style w:type="paragraph" w:styleId="List4">
    <w:name w:val="List 4"/>
    <w:basedOn w:val="Normal"/>
    <w:pPr>
      <w:ind w:left="2381" w:hanging="595"/>
    </w:pPr>
  </w:style>
  <w:style w:type="paragraph" w:styleId="List5">
    <w:name w:val="List 5"/>
    <w:basedOn w:val="Normal"/>
    <w:pPr>
      <w:ind w:left="2976" w:hanging="595"/>
    </w:pPr>
  </w:style>
  <w:style w:type="paragraph" w:styleId="ListContinue">
    <w:name w:val="List Continue"/>
    <w:basedOn w:val="Normal"/>
    <w:pPr>
      <w:ind w:left="595"/>
    </w:pPr>
  </w:style>
  <w:style w:type="paragraph" w:styleId="ListContinue2">
    <w:name w:val="List Continue 2"/>
    <w:basedOn w:val="Normal"/>
    <w:pPr>
      <w:ind w:left="1191"/>
    </w:pPr>
  </w:style>
  <w:style w:type="paragraph" w:styleId="ListContinue3">
    <w:name w:val="List Continue 3"/>
    <w:basedOn w:val="Normal"/>
    <w:pPr>
      <w:ind w:left="1786"/>
    </w:pPr>
  </w:style>
  <w:style w:type="paragraph" w:styleId="ListContinue4">
    <w:name w:val="List Continue 4"/>
    <w:basedOn w:val="Normal"/>
    <w:pPr>
      <w:ind w:left="2381"/>
    </w:pPr>
  </w:style>
  <w:style w:type="paragraph" w:styleId="ListContinue5">
    <w:name w:val="List Continue 5"/>
    <w:basedOn w:val="Normal"/>
    <w:pPr>
      <w:ind w:left="2976"/>
    </w:pPr>
  </w:style>
  <w:style w:type="paragraph" w:styleId="Signature">
    <w:name w:val="Signature"/>
    <w:basedOn w:val="Normal"/>
    <w:link w:val="SignatureChar"/>
  </w:style>
  <w:style w:type="character" w:customStyle="1" w:styleId="SignatureChar">
    <w:name w:val="Signature Char"/>
    <w:basedOn w:val="DefaultParagraphFont"/>
    <w:link w:val="Signature"/>
    <w:semiHidden/>
    <w:locked/>
    <w:rPr>
      <w:rFonts w:cs="Times New Roman"/>
      <w:sz w:val="20"/>
      <w:szCs w:val="20"/>
      <w:lang w:val="x-none" w:eastAsia="en-US"/>
    </w:rPr>
  </w:style>
  <w:style w:type="paragraph" w:styleId="TableofAuthorities">
    <w:name w:val="table of authorities"/>
    <w:basedOn w:val="Normal"/>
    <w:next w:val="Normal"/>
    <w:semiHidden/>
    <w:pPr>
      <w:ind w:left="595" w:hanging="200"/>
    </w:pPr>
  </w:style>
  <w:style w:type="paragraph" w:styleId="TableofFigures">
    <w:name w:val="table of figures"/>
    <w:basedOn w:val="Normal"/>
    <w:next w:val="Normal"/>
    <w:semiHidden/>
    <w:pPr>
      <w:ind w:left="595" w:hanging="400"/>
    </w:pPr>
  </w:style>
  <w:style w:type="paragraph" w:styleId="TOAHeading">
    <w:name w:val="toa heading"/>
    <w:basedOn w:val="Normal"/>
    <w:next w:val="Normal"/>
    <w:semiHidden/>
    <w:pPr>
      <w:spacing w:before="120"/>
    </w:pPr>
    <w:rPr>
      <w:b/>
    </w:rPr>
  </w:style>
  <w:style w:type="paragraph" w:styleId="ListBullet">
    <w:name w:val="List Bullet"/>
    <w:basedOn w:val="Normal"/>
    <w:pPr>
      <w:numPr>
        <w:numId w:val="1"/>
      </w:numPr>
    </w:pPr>
  </w:style>
  <w:style w:type="paragraph" w:styleId="ListBullet2">
    <w:name w:val="List Bullet 2"/>
    <w:basedOn w:val="Normal"/>
    <w:pPr>
      <w:numPr>
        <w:ilvl w:val="1"/>
        <w:numId w:val="1"/>
      </w:numPr>
    </w:pPr>
  </w:style>
  <w:style w:type="paragraph" w:styleId="ListBullet3">
    <w:name w:val="List Bullet 3"/>
    <w:basedOn w:val="Normal"/>
    <w:pPr>
      <w:numPr>
        <w:ilvl w:val="2"/>
        <w:numId w:val="1"/>
      </w:numPr>
    </w:pPr>
  </w:style>
  <w:style w:type="paragraph" w:styleId="ListBullet4">
    <w:name w:val="List Bullet 4"/>
    <w:basedOn w:val="Normal"/>
    <w:pPr>
      <w:numPr>
        <w:ilvl w:val="3"/>
        <w:numId w:val="1"/>
      </w:numPr>
    </w:pPr>
  </w:style>
  <w:style w:type="paragraph" w:styleId="ListBullet5">
    <w:name w:val="List Bullet 5"/>
    <w:basedOn w:val="Normal"/>
    <w:pPr>
      <w:numPr>
        <w:ilvl w:val="4"/>
        <w:numId w:val="1"/>
      </w:numPr>
    </w:pPr>
  </w:style>
  <w:style w:type="paragraph" w:customStyle="1" w:styleId="TableFigure2">
    <w:name w:val="Table Figure 2"/>
    <w:basedOn w:val="TableText"/>
    <w:next w:val="TableText"/>
    <w:pPr>
      <w:tabs>
        <w:tab w:val="decimal" w:pos="851"/>
      </w:tabs>
      <w:spacing w:after="0" w:line="240" w:lineRule="auto"/>
    </w:pPr>
  </w:style>
  <w:style w:type="paragraph" w:customStyle="1" w:styleId="TableText">
    <w:name w:val="Table Text"/>
    <w:basedOn w:val="Normal"/>
    <w:pPr>
      <w:spacing w:before="120" w:after="170"/>
    </w:pPr>
  </w:style>
  <w:style w:type="paragraph" w:styleId="ListNumber">
    <w:name w:val="List Number"/>
    <w:basedOn w:val="Normal"/>
    <w:pPr>
      <w:numPr>
        <w:numId w:val="2"/>
      </w:numPr>
    </w:pPr>
  </w:style>
  <w:style w:type="paragraph" w:styleId="ListNumber2">
    <w:name w:val="List Number 2"/>
    <w:basedOn w:val="Normal"/>
    <w:pPr>
      <w:numPr>
        <w:ilvl w:val="1"/>
        <w:numId w:val="2"/>
      </w:numPr>
    </w:pPr>
  </w:style>
  <w:style w:type="paragraph" w:customStyle="1" w:styleId="TableColumnHeader">
    <w:name w:val="Table Column Header"/>
    <w:basedOn w:val="TableText"/>
    <w:pPr>
      <w:spacing w:after="0" w:line="240" w:lineRule="auto"/>
      <w:jc w:val="right"/>
    </w:pPr>
    <w:rPr>
      <w:b/>
    </w:rPr>
  </w:style>
  <w:style w:type="paragraph" w:customStyle="1" w:styleId="TableRowHeader">
    <w:name w:val="Table Row Header"/>
    <w:basedOn w:val="TableText"/>
    <w:pPr>
      <w:ind w:left="-113"/>
    </w:pPr>
  </w:style>
  <w:style w:type="paragraph" w:customStyle="1" w:styleId="TableSubTotal">
    <w:name w:val="Table SubTotal"/>
    <w:basedOn w:val="TableFigure2"/>
    <w:next w:val="TableText"/>
    <w:pPr>
      <w:pBdr>
        <w:top w:val="single" w:sz="2" w:space="2" w:color="auto"/>
      </w:pBdr>
    </w:pPr>
  </w:style>
  <w:style w:type="paragraph" w:customStyle="1" w:styleId="TableTotal">
    <w:name w:val="Table Total"/>
    <w:basedOn w:val="TableFigure2"/>
    <w:next w:val="TableText"/>
    <w:pPr>
      <w:pBdr>
        <w:top w:val="single" w:sz="2" w:space="2" w:color="auto"/>
        <w:bottom w:val="single" w:sz="12" w:space="2" w:color="auto"/>
      </w:pBdr>
    </w:pPr>
  </w:style>
  <w:style w:type="paragraph" w:customStyle="1" w:styleId="TableFigure">
    <w:name w:val="Table Figure"/>
    <w:basedOn w:val="TableFigure2"/>
    <w:next w:val="TableText"/>
    <w:rPr>
      <w:b/>
    </w:rPr>
  </w:style>
  <w:style w:type="paragraph" w:styleId="ListNumber3">
    <w:name w:val="List Number 3"/>
    <w:basedOn w:val="Normal"/>
    <w:pPr>
      <w:numPr>
        <w:ilvl w:val="2"/>
        <w:numId w:val="2"/>
      </w:numPr>
    </w:pPr>
  </w:style>
  <w:style w:type="paragraph" w:styleId="ListNumber4">
    <w:name w:val="List Number 4"/>
    <w:basedOn w:val="Normal"/>
    <w:pPr>
      <w:numPr>
        <w:ilvl w:val="3"/>
        <w:numId w:val="2"/>
      </w:numPr>
    </w:pPr>
  </w:style>
  <w:style w:type="paragraph" w:styleId="ListNumber5">
    <w:name w:val="List Number 5"/>
    <w:basedOn w:val="Normal"/>
    <w:pPr>
      <w:numPr>
        <w:ilvl w:val="4"/>
        <w:numId w:val="2"/>
      </w:numPr>
    </w:pPr>
  </w:style>
  <w:style w:type="paragraph" w:customStyle="1" w:styleId="TableSubtotal2">
    <w:name w:val="Table Subtotal 2"/>
    <w:basedOn w:val="TableSubTotal"/>
    <w:next w:val="TableText"/>
    <w:rPr>
      <w:b/>
    </w:rPr>
  </w:style>
  <w:style w:type="paragraph" w:customStyle="1" w:styleId="TableTotal2">
    <w:name w:val="Table Total 2"/>
    <w:basedOn w:val="TableTotal"/>
    <w:next w:val="TableText"/>
    <w:rPr>
      <w:b/>
    </w:rPr>
  </w:style>
  <w:style w:type="paragraph" w:customStyle="1" w:styleId="TableBullet">
    <w:name w:val="Table Bullet"/>
    <w:basedOn w:val="TableText"/>
    <w:next w:val="BodyText"/>
    <w:pPr>
      <w:numPr>
        <w:numId w:val="3"/>
      </w:numPr>
    </w:pPr>
  </w:style>
  <w:style w:type="paragraph" w:customStyle="1" w:styleId="TableListNumber">
    <w:name w:val="Table List Number"/>
    <w:basedOn w:val="TableText"/>
    <w:pPr>
      <w:numPr>
        <w:numId w:val="4"/>
      </w:numPr>
      <w:tabs>
        <w:tab w:val="clear" w:pos="360"/>
        <w:tab w:val="left" w:pos="298"/>
      </w:tabs>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locked/>
    <w:rPr>
      <w:rFonts w:cs="Times New Roman"/>
      <w:lang w:val="x-none" w:eastAsia="en-US"/>
    </w:rPr>
  </w:style>
  <w:style w:type="paragraph" w:styleId="Date">
    <w:name w:val="Date"/>
    <w:basedOn w:val="Normal"/>
    <w:next w:val="Normal"/>
    <w:link w:val="DateChar"/>
  </w:style>
  <w:style w:type="character" w:customStyle="1" w:styleId="DateChar">
    <w:name w:val="Date Char"/>
    <w:basedOn w:val="DefaultParagraphFont"/>
    <w:link w:val="Date"/>
    <w:semiHidden/>
    <w:locked/>
    <w:rPr>
      <w:rFonts w:cs="Times New Roman"/>
      <w:sz w:val="20"/>
      <w:szCs w:val="20"/>
      <w:lang w:val="x-none"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locked/>
    <w:rPr>
      <w:rFonts w:cs="Times New Roman"/>
      <w:sz w:val="2"/>
      <w:lang w:val="x-none" w:eastAsia="en-US"/>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locked/>
    <w:rPr>
      <w:rFonts w:cs="Times New Roman"/>
      <w:sz w:val="20"/>
      <w:szCs w:val="20"/>
      <w:lang w:val="x-none" w:eastAsia="en-US"/>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locked/>
    <w:rPr>
      <w:rFonts w:cs="Times New Roman"/>
      <w:sz w:val="20"/>
      <w:szCs w:val="20"/>
      <w:lang w:val="x-none"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60" w:line="288" w:lineRule="auto"/>
    </w:pPr>
    <w:rPr>
      <w:rFonts w:ascii="Courier New" w:hAnsi="Courier New"/>
      <w:lang w:eastAsia="en-US"/>
    </w:rPr>
  </w:style>
  <w:style w:type="character" w:customStyle="1" w:styleId="MacroTextChar">
    <w:name w:val="Macro Text Char"/>
    <w:basedOn w:val="DefaultParagraphFont"/>
    <w:link w:val="MacroText"/>
    <w:semiHidden/>
    <w:locked/>
    <w:rPr>
      <w:rFonts w:ascii="Courier New" w:hAnsi="Courier New" w:cs="Times New Roman"/>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semiHidden/>
    <w:locked/>
    <w:rPr>
      <w:rFonts w:ascii="Cambria" w:hAnsi="Cambria" w:cs="Times New Roman"/>
      <w:sz w:val="24"/>
      <w:szCs w:val="24"/>
      <w:shd w:val="pct20" w:color="auto" w:fill="auto"/>
      <w:lang w:val="x-none" w:eastAsia="en-U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emiHidden/>
    <w:locked/>
    <w:rPr>
      <w:rFonts w:cs="Times New Roman"/>
      <w:sz w:val="20"/>
      <w:szCs w:val="20"/>
      <w:lang w:val="x-none" w:eastAsia="en-US"/>
    </w:rPr>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semiHidden/>
    <w:locked/>
    <w:rPr>
      <w:rFonts w:ascii="Courier New" w:hAnsi="Courier New" w:cs="Courier New"/>
      <w:sz w:val="20"/>
      <w:szCs w:val="20"/>
      <w:lang w:val="x-none"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emiHidden/>
    <w:locked/>
    <w:rPr>
      <w:rFonts w:cs="Times New Roman"/>
      <w:sz w:val="20"/>
      <w:szCs w:val="20"/>
      <w:lang w:val="x-none" w:eastAsia="en-US"/>
    </w:rPr>
  </w:style>
  <w:style w:type="character" w:styleId="PageNumber">
    <w:name w:val="page number"/>
    <w:basedOn w:val="DefaultParagraphFont"/>
    <w:rPr>
      <w:rFonts w:cs="Times New Roman"/>
    </w:rPr>
  </w:style>
  <w:style w:type="paragraph" w:customStyle="1" w:styleId="Numbering1">
    <w:name w:val="Numbering 1"/>
    <w:basedOn w:val="Normal"/>
    <w:pPr>
      <w:numPr>
        <w:numId w:val="6"/>
      </w:numPr>
    </w:pPr>
  </w:style>
  <w:style w:type="paragraph" w:customStyle="1" w:styleId="Bodysingle">
    <w:name w:val="Body single"/>
    <w:basedOn w:val="BodyText"/>
    <w:pPr>
      <w:spacing w:after="0" w:line="240" w:lineRule="auto"/>
    </w:pPr>
  </w:style>
  <w:style w:type="character" w:customStyle="1" w:styleId="STANDARD1">
    <w:name w:val="STANDARD 1"/>
    <w:basedOn w:val="DefaultParagraphFont"/>
    <w:rPr>
      <w:rFonts w:cs="Times New Roman"/>
    </w:r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x-none" w:eastAsia="en-US"/>
    </w:rPr>
  </w:style>
  <w:style w:type="character" w:styleId="Strong">
    <w:name w:val="Strong"/>
    <w:basedOn w:val="DefaultParagraphFont"/>
    <w:qFormat/>
    <w:rPr>
      <w:rFonts w:cs="Times New Roman"/>
      <w:b/>
      <w:bCs/>
    </w:rPr>
  </w:style>
  <w:style w:type="paragraph" w:styleId="NormalWeb">
    <w:name w:val="Normal (Web)"/>
    <w:basedOn w:val="Normal"/>
    <w:uiPriority w:val="99"/>
    <w:pPr>
      <w:spacing w:before="100" w:beforeAutospacing="1" w:after="100" w:afterAutospacing="1" w:line="240" w:lineRule="auto"/>
    </w:pPr>
    <w:rPr>
      <w:sz w:val="24"/>
      <w:szCs w:val="24"/>
      <w:lang w:eastAsia="en-GB"/>
    </w:rPr>
  </w:style>
  <w:style w:type="character" w:styleId="Emphasis">
    <w:name w:val="Emphasis"/>
    <w:basedOn w:val="DefaultParagraphFont"/>
    <w:qFormat/>
    <w:rPr>
      <w:rFonts w:cs="Times New Roman"/>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locked/>
    <w:rPr>
      <w:rFonts w:cs="Times New Roman"/>
      <w:lang w:val="x-none" w:eastAsia="en-US"/>
    </w:rPr>
  </w:style>
  <w:style w:type="character" w:styleId="FootnoteReference">
    <w:name w:val="footnote reference"/>
    <w:basedOn w:val="DefaultParagraphFont"/>
    <w:semiHidden/>
    <w:locked/>
    <w:rPr>
      <w:rFonts w:cs="Times New Roman"/>
      <w:vertAlign w:val="superscript"/>
    </w:rPr>
  </w:style>
  <w:style w:type="paragraph" w:styleId="ListParagraph">
    <w:name w:val="List Paragraph"/>
    <w:basedOn w:val="Normal"/>
    <w:uiPriority w:val="99"/>
    <w:qFormat/>
    <w:pPr>
      <w:spacing w:after="240" w:line="240" w:lineRule="atLeast"/>
      <w:ind w:left="720"/>
      <w:contextualSpacing/>
    </w:pPr>
    <w:rPr>
      <w:rFonts w:ascii="Georgia" w:hAnsi="Georgia"/>
    </w:rPr>
  </w:style>
  <w:style w:type="character" w:customStyle="1" w:styleId="apple-style-span">
    <w:name w:val="apple-style-span"/>
    <w:basedOn w:val="DefaultParagraphFont"/>
    <w:rsid w:val="00C51A1B"/>
    <w:rPr>
      <w:rFonts w:cs="Times New Roman"/>
    </w:rPr>
  </w:style>
  <w:style w:type="paragraph" w:customStyle="1" w:styleId="tablefigure0">
    <w:name w:val="tablefigure"/>
    <w:basedOn w:val="Normal"/>
    <w:rsid w:val="00C51A1B"/>
    <w:pPr>
      <w:spacing w:before="100" w:beforeAutospacing="1" w:after="100" w:afterAutospacing="1" w:line="240" w:lineRule="auto"/>
    </w:pPr>
    <w:rPr>
      <w:sz w:val="24"/>
      <w:szCs w:val="24"/>
      <w:lang w:eastAsia="en-GB"/>
    </w:rPr>
  </w:style>
  <w:style w:type="paragraph" w:customStyle="1" w:styleId="FreeForm">
    <w:name w:val="Free Form"/>
    <w:rsid w:val="00C51A1B"/>
    <w:rPr>
      <w:noProof/>
      <w:color w:val="000000"/>
    </w:rPr>
  </w:style>
  <w:style w:type="paragraph" w:customStyle="1" w:styleId="BodySingle0">
    <w:name w:val="Body Single"/>
    <w:basedOn w:val="BodyText"/>
    <w:link w:val="BodySingleChar"/>
    <w:uiPriority w:val="1"/>
    <w:qFormat/>
    <w:rsid w:val="009C466B"/>
    <w:pPr>
      <w:spacing w:after="0" w:line="240" w:lineRule="auto"/>
    </w:pPr>
    <w:rPr>
      <w:rFonts w:ascii="Georgia" w:hAnsi="Georgia"/>
      <w:sz w:val="18"/>
      <w:szCs w:val="18"/>
      <w:lang w:eastAsia="en-GB"/>
    </w:rPr>
  </w:style>
  <w:style w:type="character" w:customStyle="1" w:styleId="BodySingleChar">
    <w:name w:val="Body Single Char"/>
    <w:link w:val="BodySingle0"/>
    <w:uiPriority w:val="1"/>
    <w:locked/>
    <w:rsid w:val="009C466B"/>
    <w:rPr>
      <w:rFonts w:ascii="Georgia" w:hAnsi="Georgia"/>
      <w:sz w:val="18"/>
      <w:lang w:val="en-GB" w:eastAsia="en-GB"/>
    </w:rPr>
  </w:style>
  <w:style w:type="paragraph" w:customStyle="1" w:styleId="Heading1First">
    <w:name w:val="Heading 1 First"/>
    <w:basedOn w:val="Heading1"/>
    <w:qFormat/>
    <w:rsid w:val="009C466B"/>
    <w:pPr>
      <w:keepLines/>
      <w:pageBreakBefore w:val="0"/>
      <w:spacing w:after="120" w:line="240" w:lineRule="auto"/>
    </w:pPr>
    <w:rPr>
      <w:rFonts w:ascii="Georgia" w:hAnsi="Georgia"/>
      <w:kern w:val="0"/>
      <w:sz w:val="28"/>
      <w:szCs w:val="28"/>
      <w:lang w:eastAsia="en-GB"/>
    </w:rPr>
  </w:style>
  <w:style w:type="paragraph" w:customStyle="1" w:styleId="Default">
    <w:name w:val="Default"/>
    <w:link w:val="DefaultChar"/>
    <w:uiPriority w:val="99"/>
    <w:rsid w:val="00806C05"/>
    <w:pPr>
      <w:autoSpaceDE w:val="0"/>
      <w:autoSpaceDN w:val="0"/>
      <w:adjustRightInd w:val="0"/>
    </w:pPr>
    <w:rPr>
      <w:rFonts w:ascii="Arial" w:hAnsi="Arial" w:cs="Arial"/>
      <w:color w:val="000000"/>
      <w:sz w:val="24"/>
      <w:szCs w:val="24"/>
    </w:rPr>
  </w:style>
  <w:style w:type="paragraph" w:customStyle="1" w:styleId="Bulletedtext">
    <w:name w:val="Bulleted text"/>
    <w:basedOn w:val="BodyText"/>
    <w:uiPriority w:val="99"/>
    <w:rsid w:val="00133403"/>
    <w:pPr>
      <w:numPr>
        <w:numId w:val="18"/>
      </w:numPr>
      <w:spacing w:after="120" w:line="240" w:lineRule="atLeast"/>
    </w:pPr>
    <w:rPr>
      <w:rFonts w:asciiTheme="minorHAnsi" w:eastAsia="MS Mincho" w:hAnsiTheme="minorHAnsi"/>
      <w:sz w:val="24"/>
      <w:szCs w:val="24"/>
      <w:lang w:eastAsia="ja-JP"/>
    </w:rPr>
  </w:style>
  <w:style w:type="paragraph" w:customStyle="1" w:styleId="CM22">
    <w:name w:val="CM22"/>
    <w:basedOn w:val="Default"/>
    <w:next w:val="Default"/>
    <w:uiPriority w:val="99"/>
    <w:rsid w:val="00CD55D6"/>
    <w:rPr>
      <w:rFonts w:ascii="EHMONE+Arial" w:hAnsi="EHMONE+Arial" w:cs="Times New Roman"/>
      <w:color w:val="auto"/>
      <w:szCs w:val="20"/>
      <w:lang w:val="en-US" w:eastAsia="en-US"/>
    </w:rPr>
  </w:style>
  <w:style w:type="character" w:customStyle="1" w:styleId="DefaultChar">
    <w:name w:val="Default Char"/>
    <w:link w:val="Default"/>
    <w:uiPriority w:val="99"/>
    <w:locked/>
    <w:rsid w:val="00CD55D6"/>
    <w:rPr>
      <w:rFonts w:ascii="Arial" w:hAnsi="Arial" w:cs="Arial"/>
      <w:color w:val="000000"/>
      <w:sz w:val="24"/>
      <w:szCs w:val="24"/>
    </w:rPr>
  </w:style>
  <w:style w:type="paragraph" w:styleId="Revision">
    <w:name w:val="Revision"/>
    <w:hidden/>
    <w:uiPriority w:val="99"/>
    <w:semiHidden/>
    <w:rsid w:val="00CD55D6"/>
    <w:rPr>
      <w:lang w:eastAsia="en-US"/>
    </w:rPr>
  </w:style>
  <w:style w:type="paragraph" w:customStyle="1" w:styleId="ReportTitle">
    <w:name w:val="Report Title"/>
    <w:basedOn w:val="Heading1First"/>
    <w:qFormat/>
    <w:rsid w:val="00AA2EF0"/>
    <w:pPr>
      <w:spacing w:after="360"/>
    </w:pPr>
    <w:rPr>
      <w:rFonts w:cs="Georgia"/>
      <w:i/>
      <w:sz w:val="32"/>
      <w:szCs w:val="32"/>
    </w:rPr>
  </w:style>
  <w:style w:type="character" w:customStyle="1" w:styleId="apple-converted-space">
    <w:name w:val="apple-converted-space"/>
    <w:basedOn w:val="DefaultParagraphFont"/>
    <w:rsid w:val="0028736D"/>
  </w:style>
  <w:style w:type="character" w:styleId="EndnoteReference">
    <w:name w:val="endnote reference"/>
    <w:uiPriority w:val="99"/>
    <w:unhideWhenUsed/>
    <w:locked/>
    <w:rsid w:val="00521559"/>
    <w:rPr>
      <w:vertAlign w:val="superscript"/>
    </w:rPr>
  </w:style>
  <w:style w:type="paragraph" w:customStyle="1" w:styleId="WBodyText">
    <w:name w:val="WBodyText"/>
    <w:basedOn w:val="Normal"/>
    <w:link w:val="WBodyTextChar"/>
    <w:uiPriority w:val="9"/>
    <w:qFormat/>
    <w:rsid w:val="001602C0"/>
    <w:pPr>
      <w:spacing w:after="200"/>
      <w:jc w:val="both"/>
    </w:pPr>
    <w:rPr>
      <w:rFonts w:ascii="Arial" w:hAnsi="Arial"/>
      <w:bCs/>
      <w:szCs w:val="24"/>
    </w:rPr>
  </w:style>
  <w:style w:type="character" w:customStyle="1" w:styleId="WBodyTextChar">
    <w:name w:val="WBodyText Char"/>
    <w:basedOn w:val="DefaultParagraphFont"/>
    <w:link w:val="WBodyText"/>
    <w:uiPriority w:val="9"/>
    <w:rsid w:val="001602C0"/>
    <w:rPr>
      <w:rFonts w:ascii="Arial" w:hAnsi="Arial"/>
      <w:bCs/>
      <w:szCs w:val="24"/>
      <w:lang w:eastAsia="en-US"/>
    </w:rPr>
  </w:style>
  <w:style w:type="paragraph" w:customStyle="1" w:styleId="LetteredFootnote">
    <w:name w:val="LetteredFootnote"/>
    <w:basedOn w:val="BodyText"/>
    <w:qFormat/>
    <w:rsid w:val="00B87DB1"/>
    <w:pPr>
      <w:numPr>
        <w:numId w:val="33"/>
      </w:numPr>
      <w:spacing w:after="120" w:line="240" w:lineRule="auto"/>
      <w:ind w:hanging="720"/>
    </w:pPr>
    <w:rPr>
      <w:rFonts w:ascii="Georgia" w:hAnsi="Georgia" w:cs="Georgi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150"/>
      <w:marRight w:val="0"/>
      <w:marTop w:val="375"/>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20134147">
      <w:bodyDiv w:val="1"/>
      <w:marLeft w:val="0"/>
      <w:marRight w:val="0"/>
      <w:marTop w:val="0"/>
      <w:marBottom w:val="0"/>
      <w:divBdr>
        <w:top w:val="none" w:sz="0" w:space="0" w:color="auto"/>
        <w:left w:val="none" w:sz="0" w:space="0" w:color="auto"/>
        <w:bottom w:val="none" w:sz="0" w:space="0" w:color="auto"/>
        <w:right w:val="none" w:sz="0" w:space="0" w:color="auto"/>
      </w:divBdr>
    </w:div>
    <w:div w:id="74665710">
      <w:bodyDiv w:val="1"/>
      <w:marLeft w:val="0"/>
      <w:marRight w:val="0"/>
      <w:marTop w:val="0"/>
      <w:marBottom w:val="0"/>
      <w:divBdr>
        <w:top w:val="none" w:sz="0" w:space="0" w:color="auto"/>
        <w:left w:val="none" w:sz="0" w:space="0" w:color="auto"/>
        <w:bottom w:val="none" w:sz="0" w:space="0" w:color="auto"/>
        <w:right w:val="none" w:sz="0" w:space="0" w:color="auto"/>
      </w:divBdr>
    </w:div>
    <w:div w:id="87506769">
      <w:bodyDiv w:val="1"/>
      <w:marLeft w:val="0"/>
      <w:marRight w:val="0"/>
      <w:marTop w:val="0"/>
      <w:marBottom w:val="0"/>
      <w:divBdr>
        <w:top w:val="none" w:sz="0" w:space="0" w:color="auto"/>
        <w:left w:val="none" w:sz="0" w:space="0" w:color="auto"/>
        <w:bottom w:val="none" w:sz="0" w:space="0" w:color="auto"/>
        <w:right w:val="none" w:sz="0" w:space="0" w:color="auto"/>
      </w:divBdr>
    </w:div>
    <w:div w:id="114831620">
      <w:bodyDiv w:val="1"/>
      <w:marLeft w:val="0"/>
      <w:marRight w:val="0"/>
      <w:marTop w:val="0"/>
      <w:marBottom w:val="0"/>
      <w:divBdr>
        <w:top w:val="none" w:sz="0" w:space="0" w:color="auto"/>
        <w:left w:val="none" w:sz="0" w:space="0" w:color="auto"/>
        <w:bottom w:val="none" w:sz="0" w:space="0" w:color="auto"/>
        <w:right w:val="none" w:sz="0" w:space="0" w:color="auto"/>
      </w:divBdr>
    </w:div>
    <w:div w:id="126094957">
      <w:bodyDiv w:val="1"/>
      <w:marLeft w:val="0"/>
      <w:marRight w:val="0"/>
      <w:marTop w:val="0"/>
      <w:marBottom w:val="0"/>
      <w:divBdr>
        <w:top w:val="none" w:sz="0" w:space="0" w:color="auto"/>
        <w:left w:val="none" w:sz="0" w:space="0" w:color="auto"/>
        <w:bottom w:val="none" w:sz="0" w:space="0" w:color="auto"/>
        <w:right w:val="none" w:sz="0" w:space="0" w:color="auto"/>
      </w:divBdr>
    </w:div>
    <w:div w:id="127823385">
      <w:bodyDiv w:val="1"/>
      <w:marLeft w:val="0"/>
      <w:marRight w:val="0"/>
      <w:marTop w:val="0"/>
      <w:marBottom w:val="0"/>
      <w:divBdr>
        <w:top w:val="none" w:sz="0" w:space="0" w:color="auto"/>
        <w:left w:val="none" w:sz="0" w:space="0" w:color="auto"/>
        <w:bottom w:val="none" w:sz="0" w:space="0" w:color="auto"/>
        <w:right w:val="none" w:sz="0" w:space="0" w:color="auto"/>
      </w:divBdr>
    </w:div>
    <w:div w:id="131213324">
      <w:bodyDiv w:val="1"/>
      <w:marLeft w:val="0"/>
      <w:marRight w:val="0"/>
      <w:marTop w:val="0"/>
      <w:marBottom w:val="0"/>
      <w:divBdr>
        <w:top w:val="none" w:sz="0" w:space="0" w:color="auto"/>
        <w:left w:val="none" w:sz="0" w:space="0" w:color="auto"/>
        <w:bottom w:val="none" w:sz="0" w:space="0" w:color="auto"/>
        <w:right w:val="none" w:sz="0" w:space="0" w:color="auto"/>
      </w:divBdr>
    </w:div>
    <w:div w:id="138305283">
      <w:bodyDiv w:val="1"/>
      <w:marLeft w:val="0"/>
      <w:marRight w:val="0"/>
      <w:marTop w:val="0"/>
      <w:marBottom w:val="0"/>
      <w:divBdr>
        <w:top w:val="none" w:sz="0" w:space="0" w:color="auto"/>
        <w:left w:val="none" w:sz="0" w:space="0" w:color="auto"/>
        <w:bottom w:val="none" w:sz="0" w:space="0" w:color="auto"/>
        <w:right w:val="none" w:sz="0" w:space="0" w:color="auto"/>
      </w:divBdr>
    </w:div>
    <w:div w:id="149952032">
      <w:bodyDiv w:val="1"/>
      <w:marLeft w:val="0"/>
      <w:marRight w:val="0"/>
      <w:marTop w:val="0"/>
      <w:marBottom w:val="0"/>
      <w:divBdr>
        <w:top w:val="none" w:sz="0" w:space="0" w:color="auto"/>
        <w:left w:val="none" w:sz="0" w:space="0" w:color="auto"/>
        <w:bottom w:val="none" w:sz="0" w:space="0" w:color="auto"/>
        <w:right w:val="none" w:sz="0" w:space="0" w:color="auto"/>
      </w:divBdr>
    </w:div>
    <w:div w:id="151213553">
      <w:bodyDiv w:val="1"/>
      <w:marLeft w:val="0"/>
      <w:marRight w:val="0"/>
      <w:marTop w:val="0"/>
      <w:marBottom w:val="0"/>
      <w:divBdr>
        <w:top w:val="none" w:sz="0" w:space="0" w:color="auto"/>
        <w:left w:val="none" w:sz="0" w:space="0" w:color="auto"/>
        <w:bottom w:val="none" w:sz="0" w:space="0" w:color="auto"/>
        <w:right w:val="none" w:sz="0" w:space="0" w:color="auto"/>
      </w:divBdr>
    </w:div>
    <w:div w:id="165903659">
      <w:bodyDiv w:val="1"/>
      <w:marLeft w:val="0"/>
      <w:marRight w:val="0"/>
      <w:marTop w:val="0"/>
      <w:marBottom w:val="0"/>
      <w:divBdr>
        <w:top w:val="none" w:sz="0" w:space="0" w:color="auto"/>
        <w:left w:val="none" w:sz="0" w:space="0" w:color="auto"/>
        <w:bottom w:val="none" w:sz="0" w:space="0" w:color="auto"/>
        <w:right w:val="none" w:sz="0" w:space="0" w:color="auto"/>
      </w:divBdr>
    </w:div>
    <w:div w:id="198011239">
      <w:bodyDiv w:val="1"/>
      <w:marLeft w:val="0"/>
      <w:marRight w:val="0"/>
      <w:marTop w:val="0"/>
      <w:marBottom w:val="0"/>
      <w:divBdr>
        <w:top w:val="none" w:sz="0" w:space="0" w:color="auto"/>
        <w:left w:val="none" w:sz="0" w:space="0" w:color="auto"/>
        <w:bottom w:val="none" w:sz="0" w:space="0" w:color="auto"/>
        <w:right w:val="none" w:sz="0" w:space="0" w:color="auto"/>
      </w:divBdr>
    </w:div>
    <w:div w:id="205801511">
      <w:bodyDiv w:val="1"/>
      <w:marLeft w:val="0"/>
      <w:marRight w:val="0"/>
      <w:marTop w:val="0"/>
      <w:marBottom w:val="0"/>
      <w:divBdr>
        <w:top w:val="none" w:sz="0" w:space="0" w:color="auto"/>
        <w:left w:val="none" w:sz="0" w:space="0" w:color="auto"/>
        <w:bottom w:val="none" w:sz="0" w:space="0" w:color="auto"/>
        <w:right w:val="none" w:sz="0" w:space="0" w:color="auto"/>
      </w:divBdr>
    </w:div>
    <w:div w:id="210305914">
      <w:bodyDiv w:val="1"/>
      <w:marLeft w:val="0"/>
      <w:marRight w:val="0"/>
      <w:marTop w:val="0"/>
      <w:marBottom w:val="0"/>
      <w:divBdr>
        <w:top w:val="none" w:sz="0" w:space="0" w:color="auto"/>
        <w:left w:val="none" w:sz="0" w:space="0" w:color="auto"/>
        <w:bottom w:val="none" w:sz="0" w:space="0" w:color="auto"/>
        <w:right w:val="none" w:sz="0" w:space="0" w:color="auto"/>
      </w:divBdr>
    </w:div>
    <w:div w:id="212471693">
      <w:bodyDiv w:val="1"/>
      <w:marLeft w:val="0"/>
      <w:marRight w:val="0"/>
      <w:marTop w:val="0"/>
      <w:marBottom w:val="0"/>
      <w:divBdr>
        <w:top w:val="none" w:sz="0" w:space="0" w:color="auto"/>
        <w:left w:val="none" w:sz="0" w:space="0" w:color="auto"/>
        <w:bottom w:val="none" w:sz="0" w:space="0" w:color="auto"/>
        <w:right w:val="none" w:sz="0" w:space="0" w:color="auto"/>
      </w:divBdr>
    </w:div>
    <w:div w:id="272786798">
      <w:bodyDiv w:val="1"/>
      <w:marLeft w:val="0"/>
      <w:marRight w:val="0"/>
      <w:marTop w:val="0"/>
      <w:marBottom w:val="0"/>
      <w:divBdr>
        <w:top w:val="none" w:sz="0" w:space="0" w:color="auto"/>
        <w:left w:val="none" w:sz="0" w:space="0" w:color="auto"/>
        <w:bottom w:val="none" w:sz="0" w:space="0" w:color="auto"/>
        <w:right w:val="none" w:sz="0" w:space="0" w:color="auto"/>
      </w:divBdr>
    </w:div>
    <w:div w:id="311839254">
      <w:bodyDiv w:val="1"/>
      <w:marLeft w:val="0"/>
      <w:marRight w:val="0"/>
      <w:marTop w:val="0"/>
      <w:marBottom w:val="0"/>
      <w:divBdr>
        <w:top w:val="none" w:sz="0" w:space="0" w:color="auto"/>
        <w:left w:val="none" w:sz="0" w:space="0" w:color="auto"/>
        <w:bottom w:val="none" w:sz="0" w:space="0" w:color="auto"/>
        <w:right w:val="none" w:sz="0" w:space="0" w:color="auto"/>
      </w:divBdr>
    </w:div>
    <w:div w:id="317617364">
      <w:bodyDiv w:val="1"/>
      <w:marLeft w:val="0"/>
      <w:marRight w:val="0"/>
      <w:marTop w:val="0"/>
      <w:marBottom w:val="0"/>
      <w:divBdr>
        <w:top w:val="none" w:sz="0" w:space="0" w:color="auto"/>
        <w:left w:val="none" w:sz="0" w:space="0" w:color="auto"/>
        <w:bottom w:val="none" w:sz="0" w:space="0" w:color="auto"/>
        <w:right w:val="none" w:sz="0" w:space="0" w:color="auto"/>
      </w:divBdr>
    </w:div>
    <w:div w:id="329138118">
      <w:bodyDiv w:val="1"/>
      <w:marLeft w:val="0"/>
      <w:marRight w:val="0"/>
      <w:marTop w:val="0"/>
      <w:marBottom w:val="0"/>
      <w:divBdr>
        <w:top w:val="none" w:sz="0" w:space="0" w:color="auto"/>
        <w:left w:val="none" w:sz="0" w:space="0" w:color="auto"/>
        <w:bottom w:val="none" w:sz="0" w:space="0" w:color="auto"/>
        <w:right w:val="none" w:sz="0" w:space="0" w:color="auto"/>
      </w:divBdr>
    </w:div>
    <w:div w:id="342510652">
      <w:bodyDiv w:val="1"/>
      <w:marLeft w:val="0"/>
      <w:marRight w:val="0"/>
      <w:marTop w:val="0"/>
      <w:marBottom w:val="0"/>
      <w:divBdr>
        <w:top w:val="none" w:sz="0" w:space="0" w:color="auto"/>
        <w:left w:val="none" w:sz="0" w:space="0" w:color="auto"/>
        <w:bottom w:val="none" w:sz="0" w:space="0" w:color="auto"/>
        <w:right w:val="none" w:sz="0" w:space="0" w:color="auto"/>
      </w:divBdr>
    </w:div>
    <w:div w:id="348681635">
      <w:bodyDiv w:val="1"/>
      <w:marLeft w:val="0"/>
      <w:marRight w:val="0"/>
      <w:marTop w:val="0"/>
      <w:marBottom w:val="0"/>
      <w:divBdr>
        <w:top w:val="none" w:sz="0" w:space="0" w:color="auto"/>
        <w:left w:val="none" w:sz="0" w:space="0" w:color="auto"/>
        <w:bottom w:val="none" w:sz="0" w:space="0" w:color="auto"/>
        <w:right w:val="none" w:sz="0" w:space="0" w:color="auto"/>
      </w:divBdr>
    </w:div>
    <w:div w:id="390153521">
      <w:bodyDiv w:val="1"/>
      <w:marLeft w:val="0"/>
      <w:marRight w:val="0"/>
      <w:marTop w:val="0"/>
      <w:marBottom w:val="0"/>
      <w:divBdr>
        <w:top w:val="none" w:sz="0" w:space="0" w:color="auto"/>
        <w:left w:val="none" w:sz="0" w:space="0" w:color="auto"/>
        <w:bottom w:val="none" w:sz="0" w:space="0" w:color="auto"/>
        <w:right w:val="none" w:sz="0" w:space="0" w:color="auto"/>
      </w:divBdr>
    </w:div>
    <w:div w:id="399252096">
      <w:bodyDiv w:val="1"/>
      <w:marLeft w:val="0"/>
      <w:marRight w:val="0"/>
      <w:marTop w:val="0"/>
      <w:marBottom w:val="0"/>
      <w:divBdr>
        <w:top w:val="none" w:sz="0" w:space="0" w:color="auto"/>
        <w:left w:val="none" w:sz="0" w:space="0" w:color="auto"/>
        <w:bottom w:val="none" w:sz="0" w:space="0" w:color="auto"/>
        <w:right w:val="none" w:sz="0" w:space="0" w:color="auto"/>
      </w:divBdr>
    </w:div>
    <w:div w:id="401220289">
      <w:bodyDiv w:val="1"/>
      <w:marLeft w:val="0"/>
      <w:marRight w:val="0"/>
      <w:marTop w:val="0"/>
      <w:marBottom w:val="0"/>
      <w:divBdr>
        <w:top w:val="none" w:sz="0" w:space="0" w:color="auto"/>
        <w:left w:val="none" w:sz="0" w:space="0" w:color="auto"/>
        <w:bottom w:val="none" w:sz="0" w:space="0" w:color="auto"/>
        <w:right w:val="none" w:sz="0" w:space="0" w:color="auto"/>
      </w:divBdr>
    </w:div>
    <w:div w:id="424810299">
      <w:bodyDiv w:val="1"/>
      <w:marLeft w:val="0"/>
      <w:marRight w:val="0"/>
      <w:marTop w:val="0"/>
      <w:marBottom w:val="0"/>
      <w:divBdr>
        <w:top w:val="none" w:sz="0" w:space="0" w:color="auto"/>
        <w:left w:val="none" w:sz="0" w:space="0" w:color="auto"/>
        <w:bottom w:val="none" w:sz="0" w:space="0" w:color="auto"/>
        <w:right w:val="none" w:sz="0" w:space="0" w:color="auto"/>
      </w:divBdr>
    </w:div>
    <w:div w:id="430006968">
      <w:bodyDiv w:val="1"/>
      <w:marLeft w:val="0"/>
      <w:marRight w:val="0"/>
      <w:marTop w:val="0"/>
      <w:marBottom w:val="0"/>
      <w:divBdr>
        <w:top w:val="none" w:sz="0" w:space="0" w:color="auto"/>
        <w:left w:val="none" w:sz="0" w:space="0" w:color="auto"/>
        <w:bottom w:val="none" w:sz="0" w:space="0" w:color="auto"/>
        <w:right w:val="none" w:sz="0" w:space="0" w:color="auto"/>
      </w:divBdr>
    </w:div>
    <w:div w:id="473791268">
      <w:bodyDiv w:val="1"/>
      <w:marLeft w:val="0"/>
      <w:marRight w:val="0"/>
      <w:marTop w:val="0"/>
      <w:marBottom w:val="0"/>
      <w:divBdr>
        <w:top w:val="none" w:sz="0" w:space="0" w:color="auto"/>
        <w:left w:val="none" w:sz="0" w:space="0" w:color="auto"/>
        <w:bottom w:val="none" w:sz="0" w:space="0" w:color="auto"/>
        <w:right w:val="none" w:sz="0" w:space="0" w:color="auto"/>
      </w:divBdr>
    </w:div>
    <w:div w:id="522519718">
      <w:bodyDiv w:val="1"/>
      <w:marLeft w:val="0"/>
      <w:marRight w:val="0"/>
      <w:marTop w:val="0"/>
      <w:marBottom w:val="0"/>
      <w:divBdr>
        <w:top w:val="none" w:sz="0" w:space="0" w:color="auto"/>
        <w:left w:val="none" w:sz="0" w:space="0" w:color="auto"/>
        <w:bottom w:val="none" w:sz="0" w:space="0" w:color="auto"/>
        <w:right w:val="none" w:sz="0" w:space="0" w:color="auto"/>
      </w:divBdr>
    </w:div>
    <w:div w:id="532504570">
      <w:bodyDiv w:val="1"/>
      <w:marLeft w:val="0"/>
      <w:marRight w:val="0"/>
      <w:marTop w:val="0"/>
      <w:marBottom w:val="0"/>
      <w:divBdr>
        <w:top w:val="none" w:sz="0" w:space="0" w:color="auto"/>
        <w:left w:val="none" w:sz="0" w:space="0" w:color="auto"/>
        <w:bottom w:val="none" w:sz="0" w:space="0" w:color="auto"/>
        <w:right w:val="none" w:sz="0" w:space="0" w:color="auto"/>
      </w:divBdr>
    </w:div>
    <w:div w:id="538861905">
      <w:bodyDiv w:val="1"/>
      <w:marLeft w:val="0"/>
      <w:marRight w:val="0"/>
      <w:marTop w:val="0"/>
      <w:marBottom w:val="0"/>
      <w:divBdr>
        <w:top w:val="none" w:sz="0" w:space="0" w:color="auto"/>
        <w:left w:val="none" w:sz="0" w:space="0" w:color="auto"/>
        <w:bottom w:val="none" w:sz="0" w:space="0" w:color="auto"/>
        <w:right w:val="none" w:sz="0" w:space="0" w:color="auto"/>
      </w:divBdr>
    </w:div>
    <w:div w:id="539633454">
      <w:bodyDiv w:val="1"/>
      <w:marLeft w:val="0"/>
      <w:marRight w:val="0"/>
      <w:marTop w:val="0"/>
      <w:marBottom w:val="0"/>
      <w:divBdr>
        <w:top w:val="none" w:sz="0" w:space="0" w:color="auto"/>
        <w:left w:val="none" w:sz="0" w:space="0" w:color="auto"/>
        <w:bottom w:val="none" w:sz="0" w:space="0" w:color="auto"/>
        <w:right w:val="none" w:sz="0" w:space="0" w:color="auto"/>
      </w:divBdr>
    </w:div>
    <w:div w:id="580526824">
      <w:bodyDiv w:val="1"/>
      <w:marLeft w:val="0"/>
      <w:marRight w:val="0"/>
      <w:marTop w:val="0"/>
      <w:marBottom w:val="0"/>
      <w:divBdr>
        <w:top w:val="none" w:sz="0" w:space="0" w:color="auto"/>
        <w:left w:val="none" w:sz="0" w:space="0" w:color="auto"/>
        <w:bottom w:val="none" w:sz="0" w:space="0" w:color="auto"/>
        <w:right w:val="none" w:sz="0" w:space="0" w:color="auto"/>
      </w:divBdr>
    </w:div>
    <w:div w:id="584845035">
      <w:bodyDiv w:val="1"/>
      <w:marLeft w:val="0"/>
      <w:marRight w:val="0"/>
      <w:marTop w:val="0"/>
      <w:marBottom w:val="0"/>
      <w:divBdr>
        <w:top w:val="none" w:sz="0" w:space="0" w:color="auto"/>
        <w:left w:val="none" w:sz="0" w:space="0" w:color="auto"/>
        <w:bottom w:val="none" w:sz="0" w:space="0" w:color="auto"/>
        <w:right w:val="none" w:sz="0" w:space="0" w:color="auto"/>
      </w:divBdr>
    </w:div>
    <w:div w:id="585844145">
      <w:bodyDiv w:val="1"/>
      <w:marLeft w:val="0"/>
      <w:marRight w:val="0"/>
      <w:marTop w:val="0"/>
      <w:marBottom w:val="0"/>
      <w:divBdr>
        <w:top w:val="none" w:sz="0" w:space="0" w:color="auto"/>
        <w:left w:val="none" w:sz="0" w:space="0" w:color="auto"/>
        <w:bottom w:val="none" w:sz="0" w:space="0" w:color="auto"/>
        <w:right w:val="none" w:sz="0" w:space="0" w:color="auto"/>
      </w:divBdr>
    </w:div>
    <w:div w:id="586769966">
      <w:bodyDiv w:val="1"/>
      <w:marLeft w:val="0"/>
      <w:marRight w:val="0"/>
      <w:marTop w:val="0"/>
      <w:marBottom w:val="0"/>
      <w:divBdr>
        <w:top w:val="none" w:sz="0" w:space="0" w:color="auto"/>
        <w:left w:val="none" w:sz="0" w:space="0" w:color="auto"/>
        <w:bottom w:val="none" w:sz="0" w:space="0" w:color="auto"/>
        <w:right w:val="none" w:sz="0" w:space="0" w:color="auto"/>
      </w:divBdr>
    </w:div>
    <w:div w:id="592395137">
      <w:bodyDiv w:val="1"/>
      <w:marLeft w:val="0"/>
      <w:marRight w:val="0"/>
      <w:marTop w:val="0"/>
      <w:marBottom w:val="0"/>
      <w:divBdr>
        <w:top w:val="none" w:sz="0" w:space="0" w:color="auto"/>
        <w:left w:val="none" w:sz="0" w:space="0" w:color="auto"/>
        <w:bottom w:val="none" w:sz="0" w:space="0" w:color="auto"/>
        <w:right w:val="none" w:sz="0" w:space="0" w:color="auto"/>
      </w:divBdr>
    </w:div>
    <w:div w:id="598102965">
      <w:bodyDiv w:val="1"/>
      <w:marLeft w:val="0"/>
      <w:marRight w:val="0"/>
      <w:marTop w:val="0"/>
      <w:marBottom w:val="0"/>
      <w:divBdr>
        <w:top w:val="none" w:sz="0" w:space="0" w:color="auto"/>
        <w:left w:val="none" w:sz="0" w:space="0" w:color="auto"/>
        <w:bottom w:val="none" w:sz="0" w:space="0" w:color="auto"/>
        <w:right w:val="none" w:sz="0" w:space="0" w:color="auto"/>
      </w:divBdr>
    </w:div>
    <w:div w:id="611667008">
      <w:bodyDiv w:val="1"/>
      <w:marLeft w:val="0"/>
      <w:marRight w:val="0"/>
      <w:marTop w:val="0"/>
      <w:marBottom w:val="0"/>
      <w:divBdr>
        <w:top w:val="none" w:sz="0" w:space="0" w:color="auto"/>
        <w:left w:val="none" w:sz="0" w:space="0" w:color="auto"/>
        <w:bottom w:val="none" w:sz="0" w:space="0" w:color="auto"/>
        <w:right w:val="none" w:sz="0" w:space="0" w:color="auto"/>
      </w:divBdr>
    </w:div>
    <w:div w:id="614989930">
      <w:bodyDiv w:val="1"/>
      <w:marLeft w:val="0"/>
      <w:marRight w:val="0"/>
      <w:marTop w:val="0"/>
      <w:marBottom w:val="0"/>
      <w:divBdr>
        <w:top w:val="none" w:sz="0" w:space="0" w:color="auto"/>
        <w:left w:val="none" w:sz="0" w:space="0" w:color="auto"/>
        <w:bottom w:val="none" w:sz="0" w:space="0" w:color="auto"/>
        <w:right w:val="none" w:sz="0" w:space="0" w:color="auto"/>
      </w:divBdr>
    </w:div>
    <w:div w:id="619453832">
      <w:bodyDiv w:val="1"/>
      <w:marLeft w:val="0"/>
      <w:marRight w:val="0"/>
      <w:marTop w:val="0"/>
      <w:marBottom w:val="0"/>
      <w:divBdr>
        <w:top w:val="none" w:sz="0" w:space="0" w:color="auto"/>
        <w:left w:val="none" w:sz="0" w:space="0" w:color="auto"/>
        <w:bottom w:val="none" w:sz="0" w:space="0" w:color="auto"/>
        <w:right w:val="none" w:sz="0" w:space="0" w:color="auto"/>
      </w:divBdr>
    </w:div>
    <w:div w:id="624968715">
      <w:bodyDiv w:val="1"/>
      <w:marLeft w:val="0"/>
      <w:marRight w:val="0"/>
      <w:marTop w:val="0"/>
      <w:marBottom w:val="0"/>
      <w:divBdr>
        <w:top w:val="none" w:sz="0" w:space="0" w:color="auto"/>
        <w:left w:val="none" w:sz="0" w:space="0" w:color="auto"/>
        <w:bottom w:val="none" w:sz="0" w:space="0" w:color="auto"/>
        <w:right w:val="none" w:sz="0" w:space="0" w:color="auto"/>
      </w:divBdr>
    </w:div>
    <w:div w:id="635837573">
      <w:bodyDiv w:val="1"/>
      <w:marLeft w:val="0"/>
      <w:marRight w:val="0"/>
      <w:marTop w:val="0"/>
      <w:marBottom w:val="0"/>
      <w:divBdr>
        <w:top w:val="none" w:sz="0" w:space="0" w:color="auto"/>
        <w:left w:val="none" w:sz="0" w:space="0" w:color="auto"/>
        <w:bottom w:val="none" w:sz="0" w:space="0" w:color="auto"/>
        <w:right w:val="none" w:sz="0" w:space="0" w:color="auto"/>
      </w:divBdr>
    </w:div>
    <w:div w:id="649486593">
      <w:bodyDiv w:val="1"/>
      <w:marLeft w:val="0"/>
      <w:marRight w:val="0"/>
      <w:marTop w:val="0"/>
      <w:marBottom w:val="0"/>
      <w:divBdr>
        <w:top w:val="none" w:sz="0" w:space="0" w:color="auto"/>
        <w:left w:val="none" w:sz="0" w:space="0" w:color="auto"/>
        <w:bottom w:val="none" w:sz="0" w:space="0" w:color="auto"/>
        <w:right w:val="none" w:sz="0" w:space="0" w:color="auto"/>
      </w:divBdr>
    </w:div>
    <w:div w:id="723019735">
      <w:bodyDiv w:val="1"/>
      <w:marLeft w:val="0"/>
      <w:marRight w:val="0"/>
      <w:marTop w:val="0"/>
      <w:marBottom w:val="0"/>
      <w:divBdr>
        <w:top w:val="none" w:sz="0" w:space="0" w:color="auto"/>
        <w:left w:val="none" w:sz="0" w:space="0" w:color="auto"/>
        <w:bottom w:val="none" w:sz="0" w:space="0" w:color="auto"/>
        <w:right w:val="none" w:sz="0" w:space="0" w:color="auto"/>
      </w:divBdr>
    </w:div>
    <w:div w:id="748041120">
      <w:bodyDiv w:val="1"/>
      <w:marLeft w:val="0"/>
      <w:marRight w:val="0"/>
      <w:marTop w:val="0"/>
      <w:marBottom w:val="0"/>
      <w:divBdr>
        <w:top w:val="none" w:sz="0" w:space="0" w:color="auto"/>
        <w:left w:val="none" w:sz="0" w:space="0" w:color="auto"/>
        <w:bottom w:val="none" w:sz="0" w:space="0" w:color="auto"/>
        <w:right w:val="none" w:sz="0" w:space="0" w:color="auto"/>
      </w:divBdr>
    </w:div>
    <w:div w:id="763114918">
      <w:bodyDiv w:val="1"/>
      <w:marLeft w:val="0"/>
      <w:marRight w:val="0"/>
      <w:marTop w:val="0"/>
      <w:marBottom w:val="0"/>
      <w:divBdr>
        <w:top w:val="none" w:sz="0" w:space="0" w:color="auto"/>
        <w:left w:val="none" w:sz="0" w:space="0" w:color="auto"/>
        <w:bottom w:val="none" w:sz="0" w:space="0" w:color="auto"/>
        <w:right w:val="none" w:sz="0" w:space="0" w:color="auto"/>
      </w:divBdr>
    </w:div>
    <w:div w:id="793669837">
      <w:bodyDiv w:val="1"/>
      <w:marLeft w:val="0"/>
      <w:marRight w:val="0"/>
      <w:marTop w:val="0"/>
      <w:marBottom w:val="0"/>
      <w:divBdr>
        <w:top w:val="none" w:sz="0" w:space="0" w:color="auto"/>
        <w:left w:val="none" w:sz="0" w:space="0" w:color="auto"/>
        <w:bottom w:val="none" w:sz="0" w:space="0" w:color="auto"/>
        <w:right w:val="none" w:sz="0" w:space="0" w:color="auto"/>
      </w:divBdr>
    </w:div>
    <w:div w:id="818183766">
      <w:bodyDiv w:val="1"/>
      <w:marLeft w:val="0"/>
      <w:marRight w:val="0"/>
      <w:marTop w:val="0"/>
      <w:marBottom w:val="0"/>
      <w:divBdr>
        <w:top w:val="none" w:sz="0" w:space="0" w:color="auto"/>
        <w:left w:val="none" w:sz="0" w:space="0" w:color="auto"/>
        <w:bottom w:val="none" w:sz="0" w:space="0" w:color="auto"/>
        <w:right w:val="none" w:sz="0" w:space="0" w:color="auto"/>
      </w:divBdr>
    </w:div>
    <w:div w:id="863514296">
      <w:bodyDiv w:val="1"/>
      <w:marLeft w:val="0"/>
      <w:marRight w:val="0"/>
      <w:marTop w:val="0"/>
      <w:marBottom w:val="0"/>
      <w:divBdr>
        <w:top w:val="none" w:sz="0" w:space="0" w:color="auto"/>
        <w:left w:val="none" w:sz="0" w:space="0" w:color="auto"/>
        <w:bottom w:val="none" w:sz="0" w:space="0" w:color="auto"/>
        <w:right w:val="none" w:sz="0" w:space="0" w:color="auto"/>
      </w:divBdr>
    </w:div>
    <w:div w:id="867990798">
      <w:bodyDiv w:val="1"/>
      <w:marLeft w:val="0"/>
      <w:marRight w:val="0"/>
      <w:marTop w:val="0"/>
      <w:marBottom w:val="0"/>
      <w:divBdr>
        <w:top w:val="none" w:sz="0" w:space="0" w:color="auto"/>
        <w:left w:val="none" w:sz="0" w:space="0" w:color="auto"/>
        <w:bottom w:val="none" w:sz="0" w:space="0" w:color="auto"/>
        <w:right w:val="none" w:sz="0" w:space="0" w:color="auto"/>
      </w:divBdr>
    </w:div>
    <w:div w:id="876553624">
      <w:bodyDiv w:val="1"/>
      <w:marLeft w:val="0"/>
      <w:marRight w:val="0"/>
      <w:marTop w:val="0"/>
      <w:marBottom w:val="0"/>
      <w:divBdr>
        <w:top w:val="none" w:sz="0" w:space="0" w:color="auto"/>
        <w:left w:val="none" w:sz="0" w:space="0" w:color="auto"/>
        <w:bottom w:val="none" w:sz="0" w:space="0" w:color="auto"/>
        <w:right w:val="none" w:sz="0" w:space="0" w:color="auto"/>
      </w:divBdr>
    </w:div>
    <w:div w:id="881288065">
      <w:bodyDiv w:val="1"/>
      <w:marLeft w:val="0"/>
      <w:marRight w:val="0"/>
      <w:marTop w:val="0"/>
      <w:marBottom w:val="0"/>
      <w:divBdr>
        <w:top w:val="none" w:sz="0" w:space="0" w:color="auto"/>
        <w:left w:val="none" w:sz="0" w:space="0" w:color="auto"/>
        <w:bottom w:val="none" w:sz="0" w:space="0" w:color="auto"/>
        <w:right w:val="none" w:sz="0" w:space="0" w:color="auto"/>
      </w:divBdr>
    </w:div>
    <w:div w:id="894269621">
      <w:bodyDiv w:val="1"/>
      <w:marLeft w:val="0"/>
      <w:marRight w:val="0"/>
      <w:marTop w:val="0"/>
      <w:marBottom w:val="0"/>
      <w:divBdr>
        <w:top w:val="none" w:sz="0" w:space="0" w:color="auto"/>
        <w:left w:val="none" w:sz="0" w:space="0" w:color="auto"/>
        <w:bottom w:val="none" w:sz="0" w:space="0" w:color="auto"/>
        <w:right w:val="none" w:sz="0" w:space="0" w:color="auto"/>
      </w:divBdr>
    </w:div>
    <w:div w:id="897865050">
      <w:bodyDiv w:val="1"/>
      <w:marLeft w:val="0"/>
      <w:marRight w:val="0"/>
      <w:marTop w:val="0"/>
      <w:marBottom w:val="0"/>
      <w:divBdr>
        <w:top w:val="none" w:sz="0" w:space="0" w:color="auto"/>
        <w:left w:val="none" w:sz="0" w:space="0" w:color="auto"/>
        <w:bottom w:val="none" w:sz="0" w:space="0" w:color="auto"/>
        <w:right w:val="none" w:sz="0" w:space="0" w:color="auto"/>
      </w:divBdr>
    </w:div>
    <w:div w:id="932663631">
      <w:bodyDiv w:val="1"/>
      <w:marLeft w:val="0"/>
      <w:marRight w:val="0"/>
      <w:marTop w:val="0"/>
      <w:marBottom w:val="0"/>
      <w:divBdr>
        <w:top w:val="none" w:sz="0" w:space="0" w:color="auto"/>
        <w:left w:val="none" w:sz="0" w:space="0" w:color="auto"/>
        <w:bottom w:val="none" w:sz="0" w:space="0" w:color="auto"/>
        <w:right w:val="none" w:sz="0" w:space="0" w:color="auto"/>
      </w:divBdr>
    </w:div>
    <w:div w:id="942692110">
      <w:bodyDiv w:val="1"/>
      <w:marLeft w:val="0"/>
      <w:marRight w:val="0"/>
      <w:marTop w:val="0"/>
      <w:marBottom w:val="0"/>
      <w:divBdr>
        <w:top w:val="none" w:sz="0" w:space="0" w:color="auto"/>
        <w:left w:val="none" w:sz="0" w:space="0" w:color="auto"/>
        <w:bottom w:val="none" w:sz="0" w:space="0" w:color="auto"/>
        <w:right w:val="none" w:sz="0" w:space="0" w:color="auto"/>
      </w:divBdr>
    </w:div>
    <w:div w:id="978458869">
      <w:bodyDiv w:val="1"/>
      <w:marLeft w:val="0"/>
      <w:marRight w:val="0"/>
      <w:marTop w:val="0"/>
      <w:marBottom w:val="0"/>
      <w:divBdr>
        <w:top w:val="none" w:sz="0" w:space="0" w:color="auto"/>
        <w:left w:val="none" w:sz="0" w:space="0" w:color="auto"/>
        <w:bottom w:val="none" w:sz="0" w:space="0" w:color="auto"/>
        <w:right w:val="none" w:sz="0" w:space="0" w:color="auto"/>
      </w:divBdr>
    </w:div>
    <w:div w:id="988481718">
      <w:bodyDiv w:val="1"/>
      <w:marLeft w:val="0"/>
      <w:marRight w:val="0"/>
      <w:marTop w:val="0"/>
      <w:marBottom w:val="0"/>
      <w:divBdr>
        <w:top w:val="none" w:sz="0" w:space="0" w:color="auto"/>
        <w:left w:val="none" w:sz="0" w:space="0" w:color="auto"/>
        <w:bottom w:val="none" w:sz="0" w:space="0" w:color="auto"/>
        <w:right w:val="none" w:sz="0" w:space="0" w:color="auto"/>
      </w:divBdr>
    </w:div>
    <w:div w:id="1001157887">
      <w:bodyDiv w:val="1"/>
      <w:marLeft w:val="0"/>
      <w:marRight w:val="0"/>
      <w:marTop w:val="0"/>
      <w:marBottom w:val="0"/>
      <w:divBdr>
        <w:top w:val="none" w:sz="0" w:space="0" w:color="auto"/>
        <w:left w:val="none" w:sz="0" w:space="0" w:color="auto"/>
        <w:bottom w:val="none" w:sz="0" w:space="0" w:color="auto"/>
        <w:right w:val="none" w:sz="0" w:space="0" w:color="auto"/>
      </w:divBdr>
    </w:div>
    <w:div w:id="1008096472">
      <w:bodyDiv w:val="1"/>
      <w:marLeft w:val="0"/>
      <w:marRight w:val="0"/>
      <w:marTop w:val="0"/>
      <w:marBottom w:val="0"/>
      <w:divBdr>
        <w:top w:val="none" w:sz="0" w:space="0" w:color="auto"/>
        <w:left w:val="none" w:sz="0" w:space="0" w:color="auto"/>
        <w:bottom w:val="none" w:sz="0" w:space="0" w:color="auto"/>
        <w:right w:val="none" w:sz="0" w:space="0" w:color="auto"/>
      </w:divBdr>
    </w:div>
    <w:div w:id="1035539022">
      <w:bodyDiv w:val="1"/>
      <w:marLeft w:val="0"/>
      <w:marRight w:val="0"/>
      <w:marTop w:val="0"/>
      <w:marBottom w:val="0"/>
      <w:divBdr>
        <w:top w:val="none" w:sz="0" w:space="0" w:color="auto"/>
        <w:left w:val="none" w:sz="0" w:space="0" w:color="auto"/>
        <w:bottom w:val="none" w:sz="0" w:space="0" w:color="auto"/>
        <w:right w:val="none" w:sz="0" w:space="0" w:color="auto"/>
      </w:divBdr>
    </w:div>
    <w:div w:id="1063064942">
      <w:bodyDiv w:val="1"/>
      <w:marLeft w:val="0"/>
      <w:marRight w:val="0"/>
      <w:marTop w:val="0"/>
      <w:marBottom w:val="0"/>
      <w:divBdr>
        <w:top w:val="none" w:sz="0" w:space="0" w:color="auto"/>
        <w:left w:val="none" w:sz="0" w:space="0" w:color="auto"/>
        <w:bottom w:val="none" w:sz="0" w:space="0" w:color="auto"/>
        <w:right w:val="none" w:sz="0" w:space="0" w:color="auto"/>
      </w:divBdr>
    </w:div>
    <w:div w:id="1083644671">
      <w:bodyDiv w:val="1"/>
      <w:marLeft w:val="0"/>
      <w:marRight w:val="0"/>
      <w:marTop w:val="0"/>
      <w:marBottom w:val="0"/>
      <w:divBdr>
        <w:top w:val="none" w:sz="0" w:space="0" w:color="auto"/>
        <w:left w:val="none" w:sz="0" w:space="0" w:color="auto"/>
        <w:bottom w:val="none" w:sz="0" w:space="0" w:color="auto"/>
        <w:right w:val="none" w:sz="0" w:space="0" w:color="auto"/>
      </w:divBdr>
    </w:div>
    <w:div w:id="1092436352">
      <w:bodyDiv w:val="1"/>
      <w:marLeft w:val="0"/>
      <w:marRight w:val="0"/>
      <w:marTop w:val="0"/>
      <w:marBottom w:val="0"/>
      <w:divBdr>
        <w:top w:val="none" w:sz="0" w:space="0" w:color="auto"/>
        <w:left w:val="none" w:sz="0" w:space="0" w:color="auto"/>
        <w:bottom w:val="none" w:sz="0" w:space="0" w:color="auto"/>
        <w:right w:val="none" w:sz="0" w:space="0" w:color="auto"/>
      </w:divBdr>
    </w:div>
    <w:div w:id="1095246164">
      <w:bodyDiv w:val="1"/>
      <w:marLeft w:val="0"/>
      <w:marRight w:val="0"/>
      <w:marTop w:val="0"/>
      <w:marBottom w:val="0"/>
      <w:divBdr>
        <w:top w:val="none" w:sz="0" w:space="0" w:color="auto"/>
        <w:left w:val="none" w:sz="0" w:space="0" w:color="auto"/>
        <w:bottom w:val="none" w:sz="0" w:space="0" w:color="auto"/>
        <w:right w:val="none" w:sz="0" w:space="0" w:color="auto"/>
      </w:divBdr>
    </w:div>
    <w:div w:id="1103306294">
      <w:bodyDiv w:val="1"/>
      <w:marLeft w:val="0"/>
      <w:marRight w:val="0"/>
      <w:marTop w:val="0"/>
      <w:marBottom w:val="0"/>
      <w:divBdr>
        <w:top w:val="none" w:sz="0" w:space="0" w:color="auto"/>
        <w:left w:val="none" w:sz="0" w:space="0" w:color="auto"/>
        <w:bottom w:val="none" w:sz="0" w:space="0" w:color="auto"/>
        <w:right w:val="none" w:sz="0" w:space="0" w:color="auto"/>
      </w:divBdr>
    </w:div>
    <w:div w:id="1116295762">
      <w:bodyDiv w:val="1"/>
      <w:marLeft w:val="0"/>
      <w:marRight w:val="0"/>
      <w:marTop w:val="0"/>
      <w:marBottom w:val="0"/>
      <w:divBdr>
        <w:top w:val="none" w:sz="0" w:space="0" w:color="auto"/>
        <w:left w:val="none" w:sz="0" w:space="0" w:color="auto"/>
        <w:bottom w:val="none" w:sz="0" w:space="0" w:color="auto"/>
        <w:right w:val="none" w:sz="0" w:space="0" w:color="auto"/>
      </w:divBdr>
    </w:div>
    <w:div w:id="1120534666">
      <w:bodyDiv w:val="1"/>
      <w:marLeft w:val="0"/>
      <w:marRight w:val="0"/>
      <w:marTop w:val="0"/>
      <w:marBottom w:val="0"/>
      <w:divBdr>
        <w:top w:val="none" w:sz="0" w:space="0" w:color="auto"/>
        <w:left w:val="none" w:sz="0" w:space="0" w:color="auto"/>
        <w:bottom w:val="none" w:sz="0" w:space="0" w:color="auto"/>
        <w:right w:val="none" w:sz="0" w:space="0" w:color="auto"/>
      </w:divBdr>
    </w:div>
    <w:div w:id="1130123346">
      <w:bodyDiv w:val="1"/>
      <w:marLeft w:val="0"/>
      <w:marRight w:val="0"/>
      <w:marTop w:val="0"/>
      <w:marBottom w:val="0"/>
      <w:divBdr>
        <w:top w:val="none" w:sz="0" w:space="0" w:color="auto"/>
        <w:left w:val="none" w:sz="0" w:space="0" w:color="auto"/>
        <w:bottom w:val="none" w:sz="0" w:space="0" w:color="auto"/>
        <w:right w:val="none" w:sz="0" w:space="0" w:color="auto"/>
      </w:divBdr>
    </w:div>
    <w:div w:id="1157452195">
      <w:bodyDiv w:val="1"/>
      <w:marLeft w:val="0"/>
      <w:marRight w:val="0"/>
      <w:marTop w:val="0"/>
      <w:marBottom w:val="0"/>
      <w:divBdr>
        <w:top w:val="none" w:sz="0" w:space="0" w:color="auto"/>
        <w:left w:val="none" w:sz="0" w:space="0" w:color="auto"/>
        <w:bottom w:val="none" w:sz="0" w:space="0" w:color="auto"/>
        <w:right w:val="none" w:sz="0" w:space="0" w:color="auto"/>
      </w:divBdr>
    </w:div>
    <w:div w:id="1171409974">
      <w:bodyDiv w:val="1"/>
      <w:marLeft w:val="0"/>
      <w:marRight w:val="0"/>
      <w:marTop w:val="0"/>
      <w:marBottom w:val="0"/>
      <w:divBdr>
        <w:top w:val="none" w:sz="0" w:space="0" w:color="auto"/>
        <w:left w:val="none" w:sz="0" w:space="0" w:color="auto"/>
        <w:bottom w:val="none" w:sz="0" w:space="0" w:color="auto"/>
        <w:right w:val="none" w:sz="0" w:space="0" w:color="auto"/>
      </w:divBdr>
    </w:div>
    <w:div w:id="1183935450">
      <w:bodyDiv w:val="1"/>
      <w:marLeft w:val="0"/>
      <w:marRight w:val="0"/>
      <w:marTop w:val="0"/>
      <w:marBottom w:val="0"/>
      <w:divBdr>
        <w:top w:val="none" w:sz="0" w:space="0" w:color="auto"/>
        <w:left w:val="none" w:sz="0" w:space="0" w:color="auto"/>
        <w:bottom w:val="none" w:sz="0" w:space="0" w:color="auto"/>
        <w:right w:val="none" w:sz="0" w:space="0" w:color="auto"/>
      </w:divBdr>
    </w:div>
    <w:div w:id="1190877746">
      <w:bodyDiv w:val="1"/>
      <w:marLeft w:val="0"/>
      <w:marRight w:val="0"/>
      <w:marTop w:val="0"/>
      <w:marBottom w:val="0"/>
      <w:divBdr>
        <w:top w:val="none" w:sz="0" w:space="0" w:color="auto"/>
        <w:left w:val="none" w:sz="0" w:space="0" w:color="auto"/>
        <w:bottom w:val="none" w:sz="0" w:space="0" w:color="auto"/>
        <w:right w:val="none" w:sz="0" w:space="0" w:color="auto"/>
      </w:divBdr>
    </w:div>
    <w:div w:id="1192303055">
      <w:bodyDiv w:val="1"/>
      <w:marLeft w:val="0"/>
      <w:marRight w:val="0"/>
      <w:marTop w:val="0"/>
      <w:marBottom w:val="0"/>
      <w:divBdr>
        <w:top w:val="none" w:sz="0" w:space="0" w:color="auto"/>
        <w:left w:val="none" w:sz="0" w:space="0" w:color="auto"/>
        <w:bottom w:val="none" w:sz="0" w:space="0" w:color="auto"/>
        <w:right w:val="none" w:sz="0" w:space="0" w:color="auto"/>
      </w:divBdr>
    </w:div>
    <w:div w:id="1221668993">
      <w:bodyDiv w:val="1"/>
      <w:marLeft w:val="0"/>
      <w:marRight w:val="0"/>
      <w:marTop w:val="0"/>
      <w:marBottom w:val="0"/>
      <w:divBdr>
        <w:top w:val="none" w:sz="0" w:space="0" w:color="auto"/>
        <w:left w:val="none" w:sz="0" w:space="0" w:color="auto"/>
        <w:bottom w:val="none" w:sz="0" w:space="0" w:color="auto"/>
        <w:right w:val="none" w:sz="0" w:space="0" w:color="auto"/>
      </w:divBdr>
    </w:div>
    <w:div w:id="1232961166">
      <w:bodyDiv w:val="1"/>
      <w:marLeft w:val="0"/>
      <w:marRight w:val="0"/>
      <w:marTop w:val="0"/>
      <w:marBottom w:val="0"/>
      <w:divBdr>
        <w:top w:val="none" w:sz="0" w:space="0" w:color="auto"/>
        <w:left w:val="none" w:sz="0" w:space="0" w:color="auto"/>
        <w:bottom w:val="none" w:sz="0" w:space="0" w:color="auto"/>
        <w:right w:val="none" w:sz="0" w:space="0" w:color="auto"/>
      </w:divBdr>
    </w:div>
    <w:div w:id="1305743777">
      <w:bodyDiv w:val="1"/>
      <w:marLeft w:val="0"/>
      <w:marRight w:val="0"/>
      <w:marTop w:val="0"/>
      <w:marBottom w:val="0"/>
      <w:divBdr>
        <w:top w:val="none" w:sz="0" w:space="0" w:color="auto"/>
        <w:left w:val="none" w:sz="0" w:space="0" w:color="auto"/>
        <w:bottom w:val="none" w:sz="0" w:space="0" w:color="auto"/>
        <w:right w:val="none" w:sz="0" w:space="0" w:color="auto"/>
      </w:divBdr>
    </w:div>
    <w:div w:id="1345983892">
      <w:bodyDiv w:val="1"/>
      <w:marLeft w:val="0"/>
      <w:marRight w:val="0"/>
      <w:marTop w:val="0"/>
      <w:marBottom w:val="0"/>
      <w:divBdr>
        <w:top w:val="none" w:sz="0" w:space="0" w:color="auto"/>
        <w:left w:val="none" w:sz="0" w:space="0" w:color="auto"/>
        <w:bottom w:val="none" w:sz="0" w:space="0" w:color="auto"/>
        <w:right w:val="none" w:sz="0" w:space="0" w:color="auto"/>
      </w:divBdr>
    </w:div>
    <w:div w:id="1347751002">
      <w:bodyDiv w:val="1"/>
      <w:marLeft w:val="0"/>
      <w:marRight w:val="0"/>
      <w:marTop w:val="0"/>
      <w:marBottom w:val="0"/>
      <w:divBdr>
        <w:top w:val="none" w:sz="0" w:space="0" w:color="auto"/>
        <w:left w:val="none" w:sz="0" w:space="0" w:color="auto"/>
        <w:bottom w:val="none" w:sz="0" w:space="0" w:color="auto"/>
        <w:right w:val="none" w:sz="0" w:space="0" w:color="auto"/>
      </w:divBdr>
    </w:div>
    <w:div w:id="1384792146">
      <w:bodyDiv w:val="1"/>
      <w:marLeft w:val="0"/>
      <w:marRight w:val="0"/>
      <w:marTop w:val="0"/>
      <w:marBottom w:val="0"/>
      <w:divBdr>
        <w:top w:val="none" w:sz="0" w:space="0" w:color="auto"/>
        <w:left w:val="none" w:sz="0" w:space="0" w:color="auto"/>
        <w:bottom w:val="none" w:sz="0" w:space="0" w:color="auto"/>
        <w:right w:val="none" w:sz="0" w:space="0" w:color="auto"/>
      </w:divBdr>
    </w:div>
    <w:div w:id="1397893570">
      <w:bodyDiv w:val="1"/>
      <w:marLeft w:val="0"/>
      <w:marRight w:val="0"/>
      <w:marTop w:val="0"/>
      <w:marBottom w:val="0"/>
      <w:divBdr>
        <w:top w:val="none" w:sz="0" w:space="0" w:color="auto"/>
        <w:left w:val="none" w:sz="0" w:space="0" w:color="auto"/>
        <w:bottom w:val="none" w:sz="0" w:space="0" w:color="auto"/>
        <w:right w:val="none" w:sz="0" w:space="0" w:color="auto"/>
      </w:divBdr>
    </w:div>
    <w:div w:id="1424229056">
      <w:bodyDiv w:val="1"/>
      <w:marLeft w:val="0"/>
      <w:marRight w:val="0"/>
      <w:marTop w:val="0"/>
      <w:marBottom w:val="0"/>
      <w:divBdr>
        <w:top w:val="none" w:sz="0" w:space="0" w:color="auto"/>
        <w:left w:val="none" w:sz="0" w:space="0" w:color="auto"/>
        <w:bottom w:val="none" w:sz="0" w:space="0" w:color="auto"/>
        <w:right w:val="none" w:sz="0" w:space="0" w:color="auto"/>
      </w:divBdr>
    </w:div>
    <w:div w:id="1445493499">
      <w:bodyDiv w:val="1"/>
      <w:marLeft w:val="0"/>
      <w:marRight w:val="0"/>
      <w:marTop w:val="0"/>
      <w:marBottom w:val="0"/>
      <w:divBdr>
        <w:top w:val="none" w:sz="0" w:space="0" w:color="auto"/>
        <w:left w:val="none" w:sz="0" w:space="0" w:color="auto"/>
        <w:bottom w:val="none" w:sz="0" w:space="0" w:color="auto"/>
        <w:right w:val="none" w:sz="0" w:space="0" w:color="auto"/>
      </w:divBdr>
    </w:div>
    <w:div w:id="1484664244">
      <w:bodyDiv w:val="1"/>
      <w:marLeft w:val="0"/>
      <w:marRight w:val="0"/>
      <w:marTop w:val="0"/>
      <w:marBottom w:val="0"/>
      <w:divBdr>
        <w:top w:val="none" w:sz="0" w:space="0" w:color="auto"/>
        <w:left w:val="none" w:sz="0" w:space="0" w:color="auto"/>
        <w:bottom w:val="none" w:sz="0" w:space="0" w:color="auto"/>
        <w:right w:val="none" w:sz="0" w:space="0" w:color="auto"/>
      </w:divBdr>
    </w:div>
    <w:div w:id="1491218101">
      <w:bodyDiv w:val="1"/>
      <w:marLeft w:val="0"/>
      <w:marRight w:val="0"/>
      <w:marTop w:val="0"/>
      <w:marBottom w:val="0"/>
      <w:divBdr>
        <w:top w:val="none" w:sz="0" w:space="0" w:color="auto"/>
        <w:left w:val="none" w:sz="0" w:space="0" w:color="auto"/>
        <w:bottom w:val="none" w:sz="0" w:space="0" w:color="auto"/>
        <w:right w:val="none" w:sz="0" w:space="0" w:color="auto"/>
      </w:divBdr>
    </w:div>
    <w:div w:id="1505703956">
      <w:bodyDiv w:val="1"/>
      <w:marLeft w:val="0"/>
      <w:marRight w:val="0"/>
      <w:marTop w:val="0"/>
      <w:marBottom w:val="0"/>
      <w:divBdr>
        <w:top w:val="none" w:sz="0" w:space="0" w:color="auto"/>
        <w:left w:val="none" w:sz="0" w:space="0" w:color="auto"/>
        <w:bottom w:val="none" w:sz="0" w:space="0" w:color="auto"/>
        <w:right w:val="none" w:sz="0" w:space="0" w:color="auto"/>
      </w:divBdr>
    </w:div>
    <w:div w:id="1562251476">
      <w:bodyDiv w:val="1"/>
      <w:marLeft w:val="0"/>
      <w:marRight w:val="0"/>
      <w:marTop w:val="0"/>
      <w:marBottom w:val="0"/>
      <w:divBdr>
        <w:top w:val="none" w:sz="0" w:space="0" w:color="auto"/>
        <w:left w:val="none" w:sz="0" w:space="0" w:color="auto"/>
        <w:bottom w:val="none" w:sz="0" w:space="0" w:color="auto"/>
        <w:right w:val="none" w:sz="0" w:space="0" w:color="auto"/>
      </w:divBdr>
    </w:div>
    <w:div w:id="1583641735">
      <w:bodyDiv w:val="1"/>
      <w:marLeft w:val="0"/>
      <w:marRight w:val="0"/>
      <w:marTop w:val="0"/>
      <w:marBottom w:val="0"/>
      <w:divBdr>
        <w:top w:val="none" w:sz="0" w:space="0" w:color="auto"/>
        <w:left w:val="none" w:sz="0" w:space="0" w:color="auto"/>
        <w:bottom w:val="none" w:sz="0" w:space="0" w:color="auto"/>
        <w:right w:val="none" w:sz="0" w:space="0" w:color="auto"/>
      </w:divBdr>
    </w:div>
    <w:div w:id="1595746115">
      <w:bodyDiv w:val="1"/>
      <w:marLeft w:val="0"/>
      <w:marRight w:val="0"/>
      <w:marTop w:val="0"/>
      <w:marBottom w:val="0"/>
      <w:divBdr>
        <w:top w:val="none" w:sz="0" w:space="0" w:color="auto"/>
        <w:left w:val="none" w:sz="0" w:space="0" w:color="auto"/>
        <w:bottom w:val="none" w:sz="0" w:space="0" w:color="auto"/>
        <w:right w:val="none" w:sz="0" w:space="0" w:color="auto"/>
      </w:divBdr>
    </w:div>
    <w:div w:id="1628392503">
      <w:bodyDiv w:val="1"/>
      <w:marLeft w:val="0"/>
      <w:marRight w:val="0"/>
      <w:marTop w:val="0"/>
      <w:marBottom w:val="0"/>
      <w:divBdr>
        <w:top w:val="none" w:sz="0" w:space="0" w:color="auto"/>
        <w:left w:val="none" w:sz="0" w:space="0" w:color="auto"/>
        <w:bottom w:val="none" w:sz="0" w:space="0" w:color="auto"/>
        <w:right w:val="none" w:sz="0" w:space="0" w:color="auto"/>
      </w:divBdr>
    </w:div>
    <w:div w:id="1667245835">
      <w:bodyDiv w:val="1"/>
      <w:marLeft w:val="0"/>
      <w:marRight w:val="0"/>
      <w:marTop w:val="0"/>
      <w:marBottom w:val="0"/>
      <w:divBdr>
        <w:top w:val="none" w:sz="0" w:space="0" w:color="auto"/>
        <w:left w:val="none" w:sz="0" w:space="0" w:color="auto"/>
        <w:bottom w:val="none" w:sz="0" w:space="0" w:color="auto"/>
        <w:right w:val="none" w:sz="0" w:space="0" w:color="auto"/>
      </w:divBdr>
    </w:div>
    <w:div w:id="1695764201">
      <w:bodyDiv w:val="1"/>
      <w:marLeft w:val="0"/>
      <w:marRight w:val="0"/>
      <w:marTop w:val="0"/>
      <w:marBottom w:val="0"/>
      <w:divBdr>
        <w:top w:val="none" w:sz="0" w:space="0" w:color="auto"/>
        <w:left w:val="none" w:sz="0" w:space="0" w:color="auto"/>
        <w:bottom w:val="none" w:sz="0" w:space="0" w:color="auto"/>
        <w:right w:val="none" w:sz="0" w:space="0" w:color="auto"/>
      </w:divBdr>
    </w:div>
    <w:div w:id="1729760574">
      <w:bodyDiv w:val="1"/>
      <w:marLeft w:val="0"/>
      <w:marRight w:val="0"/>
      <w:marTop w:val="0"/>
      <w:marBottom w:val="0"/>
      <w:divBdr>
        <w:top w:val="none" w:sz="0" w:space="0" w:color="auto"/>
        <w:left w:val="none" w:sz="0" w:space="0" w:color="auto"/>
        <w:bottom w:val="none" w:sz="0" w:space="0" w:color="auto"/>
        <w:right w:val="none" w:sz="0" w:space="0" w:color="auto"/>
      </w:divBdr>
    </w:div>
    <w:div w:id="1729841704">
      <w:bodyDiv w:val="1"/>
      <w:marLeft w:val="0"/>
      <w:marRight w:val="0"/>
      <w:marTop w:val="0"/>
      <w:marBottom w:val="0"/>
      <w:divBdr>
        <w:top w:val="none" w:sz="0" w:space="0" w:color="auto"/>
        <w:left w:val="none" w:sz="0" w:space="0" w:color="auto"/>
        <w:bottom w:val="none" w:sz="0" w:space="0" w:color="auto"/>
        <w:right w:val="none" w:sz="0" w:space="0" w:color="auto"/>
      </w:divBdr>
    </w:div>
    <w:div w:id="1797481599">
      <w:bodyDiv w:val="1"/>
      <w:marLeft w:val="0"/>
      <w:marRight w:val="0"/>
      <w:marTop w:val="0"/>
      <w:marBottom w:val="0"/>
      <w:divBdr>
        <w:top w:val="none" w:sz="0" w:space="0" w:color="auto"/>
        <w:left w:val="none" w:sz="0" w:space="0" w:color="auto"/>
        <w:bottom w:val="none" w:sz="0" w:space="0" w:color="auto"/>
        <w:right w:val="none" w:sz="0" w:space="0" w:color="auto"/>
      </w:divBdr>
    </w:div>
    <w:div w:id="1812868590">
      <w:bodyDiv w:val="1"/>
      <w:marLeft w:val="0"/>
      <w:marRight w:val="0"/>
      <w:marTop w:val="0"/>
      <w:marBottom w:val="0"/>
      <w:divBdr>
        <w:top w:val="none" w:sz="0" w:space="0" w:color="auto"/>
        <w:left w:val="none" w:sz="0" w:space="0" w:color="auto"/>
        <w:bottom w:val="none" w:sz="0" w:space="0" w:color="auto"/>
        <w:right w:val="none" w:sz="0" w:space="0" w:color="auto"/>
      </w:divBdr>
    </w:div>
    <w:div w:id="1817718433">
      <w:bodyDiv w:val="1"/>
      <w:marLeft w:val="0"/>
      <w:marRight w:val="0"/>
      <w:marTop w:val="0"/>
      <w:marBottom w:val="0"/>
      <w:divBdr>
        <w:top w:val="none" w:sz="0" w:space="0" w:color="auto"/>
        <w:left w:val="none" w:sz="0" w:space="0" w:color="auto"/>
        <w:bottom w:val="none" w:sz="0" w:space="0" w:color="auto"/>
        <w:right w:val="none" w:sz="0" w:space="0" w:color="auto"/>
      </w:divBdr>
    </w:div>
    <w:div w:id="1827621518">
      <w:bodyDiv w:val="1"/>
      <w:marLeft w:val="0"/>
      <w:marRight w:val="0"/>
      <w:marTop w:val="0"/>
      <w:marBottom w:val="0"/>
      <w:divBdr>
        <w:top w:val="none" w:sz="0" w:space="0" w:color="auto"/>
        <w:left w:val="none" w:sz="0" w:space="0" w:color="auto"/>
        <w:bottom w:val="none" w:sz="0" w:space="0" w:color="auto"/>
        <w:right w:val="none" w:sz="0" w:space="0" w:color="auto"/>
      </w:divBdr>
    </w:div>
    <w:div w:id="1863473617">
      <w:bodyDiv w:val="1"/>
      <w:marLeft w:val="0"/>
      <w:marRight w:val="0"/>
      <w:marTop w:val="0"/>
      <w:marBottom w:val="0"/>
      <w:divBdr>
        <w:top w:val="none" w:sz="0" w:space="0" w:color="auto"/>
        <w:left w:val="none" w:sz="0" w:space="0" w:color="auto"/>
        <w:bottom w:val="none" w:sz="0" w:space="0" w:color="auto"/>
        <w:right w:val="none" w:sz="0" w:space="0" w:color="auto"/>
      </w:divBdr>
    </w:div>
    <w:div w:id="1893731217">
      <w:bodyDiv w:val="1"/>
      <w:marLeft w:val="0"/>
      <w:marRight w:val="0"/>
      <w:marTop w:val="0"/>
      <w:marBottom w:val="0"/>
      <w:divBdr>
        <w:top w:val="none" w:sz="0" w:space="0" w:color="auto"/>
        <w:left w:val="none" w:sz="0" w:space="0" w:color="auto"/>
        <w:bottom w:val="none" w:sz="0" w:space="0" w:color="auto"/>
        <w:right w:val="none" w:sz="0" w:space="0" w:color="auto"/>
      </w:divBdr>
    </w:div>
    <w:div w:id="1899243968">
      <w:bodyDiv w:val="1"/>
      <w:marLeft w:val="0"/>
      <w:marRight w:val="0"/>
      <w:marTop w:val="0"/>
      <w:marBottom w:val="0"/>
      <w:divBdr>
        <w:top w:val="none" w:sz="0" w:space="0" w:color="auto"/>
        <w:left w:val="none" w:sz="0" w:space="0" w:color="auto"/>
        <w:bottom w:val="none" w:sz="0" w:space="0" w:color="auto"/>
        <w:right w:val="none" w:sz="0" w:space="0" w:color="auto"/>
      </w:divBdr>
    </w:div>
    <w:div w:id="1903982992">
      <w:bodyDiv w:val="1"/>
      <w:marLeft w:val="0"/>
      <w:marRight w:val="0"/>
      <w:marTop w:val="0"/>
      <w:marBottom w:val="0"/>
      <w:divBdr>
        <w:top w:val="none" w:sz="0" w:space="0" w:color="auto"/>
        <w:left w:val="none" w:sz="0" w:space="0" w:color="auto"/>
        <w:bottom w:val="none" w:sz="0" w:space="0" w:color="auto"/>
        <w:right w:val="none" w:sz="0" w:space="0" w:color="auto"/>
      </w:divBdr>
    </w:div>
    <w:div w:id="1917594881">
      <w:bodyDiv w:val="1"/>
      <w:marLeft w:val="0"/>
      <w:marRight w:val="0"/>
      <w:marTop w:val="0"/>
      <w:marBottom w:val="0"/>
      <w:divBdr>
        <w:top w:val="none" w:sz="0" w:space="0" w:color="auto"/>
        <w:left w:val="none" w:sz="0" w:space="0" w:color="auto"/>
        <w:bottom w:val="none" w:sz="0" w:space="0" w:color="auto"/>
        <w:right w:val="none" w:sz="0" w:space="0" w:color="auto"/>
      </w:divBdr>
    </w:div>
    <w:div w:id="1984118630">
      <w:bodyDiv w:val="1"/>
      <w:marLeft w:val="0"/>
      <w:marRight w:val="0"/>
      <w:marTop w:val="0"/>
      <w:marBottom w:val="0"/>
      <w:divBdr>
        <w:top w:val="none" w:sz="0" w:space="0" w:color="auto"/>
        <w:left w:val="none" w:sz="0" w:space="0" w:color="auto"/>
        <w:bottom w:val="none" w:sz="0" w:space="0" w:color="auto"/>
        <w:right w:val="none" w:sz="0" w:space="0" w:color="auto"/>
      </w:divBdr>
    </w:div>
    <w:div w:id="2008439396">
      <w:bodyDiv w:val="1"/>
      <w:marLeft w:val="0"/>
      <w:marRight w:val="0"/>
      <w:marTop w:val="0"/>
      <w:marBottom w:val="0"/>
      <w:divBdr>
        <w:top w:val="none" w:sz="0" w:space="0" w:color="auto"/>
        <w:left w:val="none" w:sz="0" w:space="0" w:color="auto"/>
        <w:bottom w:val="none" w:sz="0" w:space="0" w:color="auto"/>
        <w:right w:val="none" w:sz="0" w:space="0" w:color="auto"/>
      </w:divBdr>
    </w:div>
    <w:div w:id="2009793163">
      <w:bodyDiv w:val="1"/>
      <w:marLeft w:val="0"/>
      <w:marRight w:val="0"/>
      <w:marTop w:val="0"/>
      <w:marBottom w:val="0"/>
      <w:divBdr>
        <w:top w:val="none" w:sz="0" w:space="0" w:color="auto"/>
        <w:left w:val="none" w:sz="0" w:space="0" w:color="auto"/>
        <w:bottom w:val="none" w:sz="0" w:space="0" w:color="auto"/>
        <w:right w:val="none" w:sz="0" w:space="0" w:color="auto"/>
      </w:divBdr>
    </w:div>
    <w:div w:id="2010712110">
      <w:bodyDiv w:val="1"/>
      <w:marLeft w:val="0"/>
      <w:marRight w:val="0"/>
      <w:marTop w:val="0"/>
      <w:marBottom w:val="0"/>
      <w:divBdr>
        <w:top w:val="none" w:sz="0" w:space="0" w:color="auto"/>
        <w:left w:val="none" w:sz="0" w:space="0" w:color="auto"/>
        <w:bottom w:val="none" w:sz="0" w:space="0" w:color="auto"/>
        <w:right w:val="none" w:sz="0" w:space="0" w:color="auto"/>
      </w:divBdr>
    </w:div>
    <w:div w:id="2016149608">
      <w:bodyDiv w:val="1"/>
      <w:marLeft w:val="0"/>
      <w:marRight w:val="0"/>
      <w:marTop w:val="0"/>
      <w:marBottom w:val="0"/>
      <w:divBdr>
        <w:top w:val="none" w:sz="0" w:space="0" w:color="auto"/>
        <w:left w:val="none" w:sz="0" w:space="0" w:color="auto"/>
        <w:bottom w:val="none" w:sz="0" w:space="0" w:color="auto"/>
        <w:right w:val="none" w:sz="0" w:space="0" w:color="auto"/>
      </w:divBdr>
    </w:div>
    <w:div w:id="2018388657">
      <w:bodyDiv w:val="1"/>
      <w:marLeft w:val="0"/>
      <w:marRight w:val="0"/>
      <w:marTop w:val="0"/>
      <w:marBottom w:val="0"/>
      <w:divBdr>
        <w:top w:val="none" w:sz="0" w:space="0" w:color="auto"/>
        <w:left w:val="none" w:sz="0" w:space="0" w:color="auto"/>
        <w:bottom w:val="none" w:sz="0" w:space="0" w:color="auto"/>
        <w:right w:val="none" w:sz="0" w:space="0" w:color="auto"/>
      </w:divBdr>
    </w:div>
    <w:div w:id="2022388405">
      <w:bodyDiv w:val="1"/>
      <w:marLeft w:val="0"/>
      <w:marRight w:val="0"/>
      <w:marTop w:val="0"/>
      <w:marBottom w:val="0"/>
      <w:divBdr>
        <w:top w:val="none" w:sz="0" w:space="0" w:color="auto"/>
        <w:left w:val="none" w:sz="0" w:space="0" w:color="auto"/>
        <w:bottom w:val="none" w:sz="0" w:space="0" w:color="auto"/>
        <w:right w:val="none" w:sz="0" w:space="0" w:color="auto"/>
      </w:divBdr>
    </w:div>
    <w:div w:id="2052342768">
      <w:bodyDiv w:val="1"/>
      <w:marLeft w:val="0"/>
      <w:marRight w:val="0"/>
      <w:marTop w:val="0"/>
      <w:marBottom w:val="0"/>
      <w:divBdr>
        <w:top w:val="none" w:sz="0" w:space="0" w:color="auto"/>
        <w:left w:val="none" w:sz="0" w:space="0" w:color="auto"/>
        <w:bottom w:val="none" w:sz="0" w:space="0" w:color="auto"/>
        <w:right w:val="none" w:sz="0" w:space="0" w:color="auto"/>
      </w:divBdr>
    </w:div>
    <w:div w:id="2055157354">
      <w:bodyDiv w:val="1"/>
      <w:marLeft w:val="0"/>
      <w:marRight w:val="0"/>
      <w:marTop w:val="0"/>
      <w:marBottom w:val="0"/>
      <w:divBdr>
        <w:top w:val="none" w:sz="0" w:space="0" w:color="auto"/>
        <w:left w:val="none" w:sz="0" w:space="0" w:color="auto"/>
        <w:bottom w:val="none" w:sz="0" w:space="0" w:color="auto"/>
        <w:right w:val="none" w:sz="0" w:space="0" w:color="auto"/>
      </w:divBdr>
    </w:div>
    <w:div w:id="2057655646">
      <w:bodyDiv w:val="1"/>
      <w:marLeft w:val="0"/>
      <w:marRight w:val="0"/>
      <w:marTop w:val="0"/>
      <w:marBottom w:val="0"/>
      <w:divBdr>
        <w:top w:val="none" w:sz="0" w:space="0" w:color="auto"/>
        <w:left w:val="none" w:sz="0" w:space="0" w:color="auto"/>
        <w:bottom w:val="none" w:sz="0" w:space="0" w:color="auto"/>
        <w:right w:val="none" w:sz="0" w:space="0" w:color="auto"/>
      </w:divBdr>
    </w:div>
    <w:div w:id="2065135574">
      <w:bodyDiv w:val="1"/>
      <w:marLeft w:val="0"/>
      <w:marRight w:val="0"/>
      <w:marTop w:val="0"/>
      <w:marBottom w:val="0"/>
      <w:divBdr>
        <w:top w:val="none" w:sz="0" w:space="0" w:color="auto"/>
        <w:left w:val="none" w:sz="0" w:space="0" w:color="auto"/>
        <w:bottom w:val="none" w:sz="0" w:space="0" w:color="auto"/>
        <w:right w:val="none" w:sz="0" w:space="0" w:color="auto"/>
      </w:divBdr>
    </w:div>
    <w:div w:id="2077386801">
      <w:bodyDiv w:val="1"/>
      <w:marLeft w:val="0"/>
      <w:marRight w:val="0"/>
      <w:marTop w:val="0"/>
      <w:marBottom w:val="0"/>
      <w:divBdr>
        <w:top w:val="none" w:sz="0" w:space="0" w:color="auto"/>
        <w:left w:val="none" w:sz="0" w:space="0" w:color="auto"/>
        <w:bottom w:val="none" w:sz="0" w:space="0" w:color="auto"/>
        <w:right w:val="none" w:sz="0" w:space="0" w:color="auto"/>
      </w:divBdr>
    </w:div>
    <w:div w:id="2083411604">
      <w:bodyDiv w:val="1"/>
      <w:marLeft w:val="0"/>
      <w:marRight w:val="0"/>
      <w:marTop w:val="0"/>
      <w:marBottom w:val="0"/>
      <w:divBdr>
        <w:top w:val="none" w:sz="0" w:space="0" w:color="auto"/>
        <w:left w:val="none" w:sz="0" w:space="0" w:color="auto"/>
        <w:bottom w:val="none" w:sz="0" w:space="0" w:color="auto"/>
        <w:right w:val="none" w:sz="0" w:space="0" w:color="auto"/>
      </w:divBdr>
    </w:div>
    <w:div w:id="2090956151">
      <w:bodyDiv w:val="1"/>
      <w:marLeft w:val="0"/>
      <w:marRight w:val="0"/>
      <w:marTop w:val="0"/>
      <w:marBottom w:val="0"/>
      <w:divBdr>
        <w:top w:val="none" w:sz="0" w:space="0" w:color="auto"/>
        <w:left w:val="none" w:sz="0" w:space="0" w:color="auto"/>
        <w:bottom w:val="none" w:sz="0" w:space="0" w:color="auto"/>
        <w:right w:val="none" w:sz="0" w:space="0" w:color="auto"/>
      </w:divBdr>
    </w:div>
    <w:div w:id="2095973255">
      <w:bodyDiv w:val="1"/>
      <w:marLeft w:val="0"/>
      <w:marRight w:val="0"/>
      <w:marTop w:val="0"/>
      <w:marBottom w:val="0"/>
      <w:divBdr>
        <w:top w:val="none" w:sz="0" w:space="0" w:color="auto"/>
        <w:left w:val="none" w:sz="0" w:space="0" w:color="auto"/>
        <w:bottom w:val="none" w:sz="0" w:space="0" w:color="auto"/>
        <w:right w:val="none" w:sz="0" w:space="0" w:color="auto"/>
      </w:divBdr>
    </w:div>
    <w:div w:id="2119131807">
      <w:bodyDiv w:val="1"/>
      <w:marLeft w:val="0"/>
      <w:marRight w:val="0"/>
      <w:marTop w:val="0"/>
      <w:marBottom w:val="0"/>
      <w:divBdr>
        <w:top w:val="none" w:sz="0" w:space="0" w:color="auto"/>
        <w:left w:val="none" w:sz="0" w:space="0" w:color="auto"/>
        <w:bottom w:val="none" w:sz="0" w:space="0" w:color="auto"/>
        <w:right w:val="none" w:sz="0" w:space="0" w:color="auto"/>
      </w:divBdr>
    </w:div>
    <w:div w:id="21450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AS\ABAS%20Accounts.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e\Downloads\report154521203277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ne\Downloads\report154521203277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ne\Downloads\report154521203277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of beneficiaries</a:t>
            </a:r>
          </a:p>
        </c:rich>
      </c:tx>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6EC5-4DE8-A43E-1FB880FDA153}"/>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6EC5-4DE8-A43E-1FB880FDA153}"/>
              </c:ext>
            </c:extLst>
          </c:dPt>
          <c:dLbls>
            <c:dLbl>
              <c:idx val="1"/>
              <c:layout>
                <c:manualLayout>
                  <c:x val="-1.7778595432580275E-2"/>
                  <c:y val="2.068084186105944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EC5-4DE8-A43E-1FB880FDA1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gender!$I$2:$I$3</c:f>
              <c:strCache>
                <c:ptCount val="2"/>
                <c:pt idx="0">
                  <c:v>Female</c:v>
                </c:pt>
                <c:pt idx="1">
                  <c:v>Male</c:v>
                </c:pt>
              </c:strCache>
            </c:strRef>
          </c:cat>
          <c:val>
            <c:numRef>
              <c:f>gender!$J$2:$J$3</c:f>
              <c:numCache>
                <c:formatCode>General</c:formatCode>
                <c:ptCount val="2"/>
                <c:pt idx="0">
                  <c:v>236</c:v>
                </c:pt>
                <c:pt idx="1">
                  <c:v>230</c:v>
                </c:pt>
              </c:numCache>
            </c:numRef>
          </c:val>
          <c:extLst xmlns:c16r2="http://schemas.microsoft.com/office/drawing/2015/06/chart">
            <c:ext xmlns:c16="http://schemas.microsoft.com/office/drawing/2014/chart" uri="{C3380CC4-5D6E-409C-BE32-E72D297353CC}">
              <c16:uniqueId val="{00000004-6EC5-4DE8-A43E-1FB880FDA15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of beneficiaries at 30 September 2018</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cat>
            <c:numRef>
              <c:f>age!$A$2:$A$8</c:f>
              <c:numCache>
                <c:formatCode>General</c:formatCode>
                <c:ptCount val="7"/>
                <c:pt idx="0">
                  <c:v>53</c:v>
                </c:pt>
                <c:pt idx="1">
                  <c:v>54</c:v>
                </c:pt>
                <c:pt idx="2">
                  <c:v>55</c:v>
                </c:pt>
                <c:pt idx="3">
                  <c:v>56</c:v>
                </c:pt>
                <c:pt idx="4">
                  <c:v>57</c:v>
                </c:pt>
                <c:pt idx="5">
                  <c:v>58</c:v>
                </c:pt>
                <c:pt idx="6">
                  <c:v>59</c:v>
                </c:pt>
              </c:numCache>
            </c:numRef>
          </c:cat>
          <c:val>
            <c:numRef>
              <c:f>age!$B$2:$B$8</c:f>
              <c:numCache>
                <c:formatCode>General</c:formatCode>
                <c:ptCount val="7"/>
                <c:pt idx="0">
                  <c:v>2</c:v>
                </c:pt>
                <c:pt idx="1">
                  <c:v>1</c:v>
                </c:pt>
                <c:pt idx="2">
                  <c:v>19</c:v>
                </c:pt>
                <c:pt idx="3">
                  <c:v>223</c:v>
                </c:pt>
                <c:pt idx="4">
                  <c:v>126</c:v>
                </c:pt>
                <c:pt idx="5">
                  <c:v>68</c:v>
                </c:pt>
                <c:pt idx="6">
                  <c:v>27</c:v>
                </c:pt>
              </c:numCache>
            </c:numRef>
          </c:val>
          <c:extLst xmlns:c16r2="http://schemas.microsoft.com/office/drawing/2015/06/chart">
            <c:ext xmlns:c16="http://schemas.microsoft.com/office/drawing/2014/chart" uri="{C3380CC4-5D6E-409C-BE32-E72D297353CC}">
              <c16:uniqueId val="{00000000-09BB-4FF6-851B-A2E82E63618F}"/>
            </c:ext>
          </c:extLst>
        </c:ser>
        <c:dLbls>
          <c:showLegendKey val="0"/>
          <c:showVal val="0"/>
          <c:showCatName val="0"/>
          <c:showSerName val="0"/>
          <c:showPercent val="0"/>
          <c:showBubbleSize val="0"/>
        </c:dLbls>
        <c:gapWidth val="219"/>
        <c:overlap val="-27"/>
        <c:axId val="313839104"/>
        <c:axId val="313839888"/>
      </c:barChart>
      <c:catAx>
        <c:axId val="31383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39888"/>
        <c:crosses val="autoZero"/>
        <c:auto val="1"/>
        <c:lblAlgn val="ctr"/>
        <c:lblOffset val="100"/>
        <c:noMultiLvlLbl val="0"/>
      </c:catAx>
      <c:valAx>
        <c:axId val="31383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83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Country of residence </a:t>
            </a:r>
          </a:p>
        </c:rich>
      </c:tx>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1CD-40DE-B1D7-D3AF6D083D16}"/>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1CD-40DE-B1D7-D3AF6D083D16}"/>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1CD-40DE-B1D7-D3AF6D083D16}"/>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01CD-40DE-B1D7-D3AF6D083D16}"/>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1CD-40DE-B1D7-D3AF6D083D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country!$K$2:$K$6</c:f>
              <c:strCache>
                <c:ptCount val="5"/>
                <c:pt idx="0">
                  <c:v>England</c:v>
                </c:pt>
                <c:pt idx="1">
                  <c:v>Scotland</c:v>
                </c:pt>
                <c:pt idx="2">
                  <c:v>Wales</c:v>
                </c:pt>
                <c:pt idx="3">
                  <c:v>Northern Ireland</c:v>
                </c:pt>
                <c:pt idx="4">
                  <c:v>Overseas</c:v>
                </c:pt>
              </c:strCache>
            </c:strRef>
          </c:cat>
          <c:val>
            <c:numRef>
              <c:f>country!$L$2:$L$6</c:f>
              <c:numCache>
                <c:formatCode>General</c:formatCode>
                <c:ptCount val="5"/>
                <c:pt idx="0">
                  <c:v>327</c:v>
                </c:pt>
                <c:pt idx="1">
                  <c:v>52</c:v>
                </c:pt>
                <c:pt idx="2">
                  <c:v>31</c:v>
                </c:pt>
                <c:pt idx="3">
                  <c:v>19</c:v>
                </c:pt>
                <c:pt idx="4">
                  <c:v>37</c:v>
                </c:pt>
              </c:numCache>
            </c:numRef>
          </c:val>
          <c:extLst xmlns:c16r2="http://schemas.microsoft.com/office/drawing/2015/06/chart">
            <c:ext xmlns:c16="http://schemas.microsoft.com/office/drawing/2014/chart" uri="{C3380CC4-5D6E-409C-BE32-E72D297353CC}">
              <c16:uniqueId val="{0000000A-01CD-40DE-B1D7-D3AF6D083D16}"/>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235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E425-8D4C-4738-9E8D-14A716E8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ABAS Accounts</Template>
  <TotalTime>1</TotalTime>
  <Pages>1</Pages>
  <Words>10748</Words>
  <Characters>61265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[Client Name]</vt:lpstr>
    </vt:vector>
  </TitlesOfParts>
  <Company>Professional Services</Company>
  <LinksUpToDate>false</LinksUpToDate>
  <CharactersWithSpaces>71870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PricewaterhouseCoopers</dc:creator>
  <cp:lastModifiedBy>Charlotte Black</cp:lastModifiedBy>
  <cp:revision>3</cp:revision>
  <cp:lastPrinted>2019-01-10T14:59:00Z</cp:lastPrinted>
  <dcterms:created xsi:type="dcterms:W3CDTF">2019-01-15T14:58:00Z</dcterms:created>
  <dcterms:modified xsi:type="dcterms:W3CDTF">2019-01-15T14:58:00Z</dcterms:modified>
</cp:coreProperties>
</file>